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2C25" w14:textId="77777777" w:rsidR="00FC74D2" w:rsidRPr="001B0CEF" w:rsidRDefault="00FC74D2" w:rsidP="00FC74D2">
      <w:pPr>
        <w:spacing w:after="120"/>
        <w:ind w:left="11624"/>
        <w:outlineLvl w:val="1"/>
        <w:rPr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10</w:t>
      </w:r>
    </w:p>
    <w:p w14:paraId="49E36447" w14:textId="77777777" w:rsidR="00FC74D2" w:rsidRPr="001B0CEF" w:rsidRDefault="00FC74D2" w:rsidP="00FC74D2">
      <w:pPr>
        <w:tabs>
          <w:tab w:val="left" w:pos="11766"/>
        </w:tabs>
        <w:spacing w:after="120"/>
        <w:ind w:left="11624"/>
      </w:pPr>
      <w:r w:rsidRPr="001B0CEF">
        <w:t xml:space="preserve">к Положению </w:t>
      </w:r>
      <w:r w:rsidRPr="001B0CEF">
        <w:br/>
        <w:t>о клиринговых участниках</w:t>
      </w:r>
    </w:p>
    <w:p w14:paraId="338AD3A8" w14:textId="77777777" w:rsidR="00FC74D2" w:rsidRPr="00835A5A" w:rsidRDefault="00FC74D2" w:rsidP="00FC74D2">
      <w:pPr>
        <w:spacing w:after="120"/>
        <w:jc w:val="both"/>
      </w:pPr>
    </w:p>
    <w:p w14:paraId="6FE6A207" w14:textId="77777777" w:rsidR="00FC74D2" w:rsidRPr="001B0CEF" w:rsidRDefault="00FC74D2" w:rsidP="00FC74D2">
      <w:pPr>
        <w:widowControl w:val="0"/>
        <w:spacing w:after="120"/>
        <w:jc w:val="center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t>Перечень</w:t>
      </w:r>
    </w:p>
    <w:p w14:paraId="7DE2EA1D" w14:textId="77777777" w:rsidR="00FC74D2" w:rsidRPr="001B0CEF" w:rsidRDefault="00FC74D2" w:rsidP="00FC74D2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1B0CEF">
        <w:rPr>
          <w:rFonts w:cs="Arial"/>
          <w:bCs/>
          <w:iCs/>
          <w:snapToGrid w:val="0"/>
          <w:color w:val="000000"/>
        </w:rPr>
        <w:t xml:space="preserve"> </w:t>
      </w:r>
      <w:r w:rsidRPr="001B0CEF">
        <w:rPr>
          <w:rFonts w:ascii="Times New Roman" w:hAnsi="Times New Roman"/>
          <w:b/>
          <w:color w:val="800000"/>
          <w:sz w:val="24"/>
          <w:lang w:eastAsia="ru-RU"/>
        </w:rPr>
        <w:t xml:space="preserve">документов, подлежащих предоставлению клиринговыми участниками – иностранными юридическими лицами, в том числе </w:t>
      </w:r>
      <w:r w:rsidRPr="00835A5A">
        <w:rPr>
          <w:rFonts w:ascii="Times New Roman" w:hAnsi="Times New Roman"/>
          <w:b/>
          <w:color w:val="800000"/>
          <w:sz w:val="24"/>
          <w:lang w:eastAsia="ru-RU"/>
        </w:rPr>
        <w:t xml:space="preserve">участниками </w:t>
      </w:r>
      <w:r w:rsidRPr="001B0CEF">
        <w:rPr>
          <w:rFonts w:ascii="Times New Roman" w:hAnsi="Times New Roman"/>
          <w:b/>
          <w:color w:val="800000"/>
          <w:sz w:val="24"/>
          <w:lang w:eastAsia="ru-RU"/>
        </w:rPr>
        <w:t>системы электронных торгов и участниками МФЦА</w:t>
      </w:r>
    </w:p>
    <w:p w14:paraId="053C593E" w14:textId="77777777" w:rsidR="00FC74D2" w:rsidRPr="00835A5A" w:rsidRDefault="00FC74D2" w:rsidP="00FC74D2">
      <w:pPr>
        <w:widowControl w:val="0"/>
        <w:tabs>
          <w:tab w:val="left" w:pos="567"/>
        </w:tabs>
        <w:suppressAutoHyphens/>
        <w:spacing w:after="120"/>
        <w:ind w:left="567" w:hanging="567"/>
        <w:rPr>
          <w:lang w:eastAsia="ru-RU"/>
        </w:rPr>
      </w:pPr>
    </w:p>
    <w:p w14:paraId="773858FE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  <w:r w:rsidRPr="001B0CEF">
        <w:rPr>
          <w:b/>
          <w:lang w:eastAsia="ru-RU"/>
        </w:rPr>
        <w:t xml:space="preserve">Таблица 1. Периодическая отчетность, предоставляемая ежегодно не позднее 30 июня года, следующего за отчетным, </w:t>
      </w:r>
      <w:r w:rsidRPr="001B0CEF">
        <w:rPr>
          <w:b/>
          <w:lang w:eastAsia="ru-RU"/>
        </w:rPr>
        <w:br/>
        <w:t xml:space="preserve">или не позднее даты, установленной регулирующим органом государства или юрисдикции, </w:t>
      </w:r>
      <w:r w:rsidRPr="001B0CEF">
        <w:rPr>
          <w:b/>
          <w:lang w:eastAsia="ru-RU"/>
        </w:rPr>
        <w:br/>
        <w:t xml:space="preserve">в соответствии с законодательством которого учрежден клиринговый участник  </w:t>
      </w:r>
    </w:p>
    <w:p w14:paraId="47BAEE53" w14:textId="77777777" w:rsidR="00FC74D2" w:rsidRPr="001B0CEF" w:rsidRDefault="00FC74D2" w:rsidP="00FC74D2">
      <w:pPr>
        <w:widowControl w:val="0"/>
        <w:spacing w:after="120"/>
        <w:jc w:val="center"/>
        <w:rPr>
          <w:rFonts w:ascii="Times New Roman" w:hAnsi="Times New Roman"/>
          <w:b/>
          <w:caps/>
          <w:color w:val="800000"/>
          <w:spacing w:val="60"/>
          <w:sz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30"/>
        <w:gridCol w:w="7929"/>
      </w:tblGrid>
      <w:tr w:rsidR="00FC74D2" w:rsidRPr="001B0CEF" w14:paraId="2A0254ED" w14:textId="77777777" w:rsidTr="000509A2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955CF46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BFDAA9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Название документа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D8532FF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Примечания</w:t>
            </w:r>
          </w:p>
        </w:tc>
      </w:tr>
      <w:tr w:rsidR="00FC74D2" w:rsidRPr="001B0CEF" w14:paraId="71B61B8D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3680DE57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А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8DE8C12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CB0478F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2</w:t>
            </w:r>
          </w:p>
        </w:tc>
      </w:tr>
      <w:tr w:rsidR="00FC74D2" w:rsidRPr="001B0CEF" w14:paraId="5B94A38B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1EC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D4C2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Годовая финансовая отчетность клирингового участника за последний завершенный финансовый год (в случае наличия дочерней организации (дочерних организаций) – консолидированная финансовая отчетность и отдельная финансовая отчетность клирингового участника, </w:t>
            </w:r>
            <w:r w:rsidRPr="001B0CEF">
              <w:rPr>
                <w:lang w:eastAsia="ru-RU"/>
              </w:rPr>
              <w:t>подтвержденная аудиторским отчетом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F137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 xml:space="preserve">Указанная финансовая отчетность должна быть составлена в соответствии </w:t>
            </w:r>
            <w:r w:rsidRPr="001B0CEF">
              <w:rPr>
                <w:lang w:eastAsia="ru-RU"/>
              </w:rPr>
              <w:br/>
              <w:t>с международными стандартами финансовой отчетности или стандартами финансовой отчетности, действующими в Соединенных Штатах Америки и предоставлена в электронном виде 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 xml:space="preserve"> и должна являться сканированной копией бумажной версии этой отчетности</w:t>
            </w:r>
          </w:p>
        </w:tc>
      </w:tr>
    </w:tbl>
    <w:p w14:paraId="70530028" w14:textId="77777777" w:rsidR="00FC74D2" w:rsidRPr="001B0CEF" w:rsidRDefault="00FC74D2" w:rsidP="00FC74D2">
      <w:pPr>
        <w:widowControl w:val="0"/>
        <w:tabs>
          <w:tab w:val="left" w:pos="567"/>
        </w:tabs>
        <w:suppressAutoHyphens/>
        <w:spacing w:after="120"/>
        <w:rPr>
          <w:lang w:eastAsia="ru-RU"/>
        </w:rPr>
      </w:pPr>
    </w:p>
    <w:p w14:paraId="3B39F79E" w14:textId="77777777" w:rsidR="00FC74D2" w:rsidRPr="001B0CEF" w:rsidRDefault="00FC74D2" w:rsidP="00FC74D2">
      <w:pPr>
        <w:rPr>
          <w:b/>
          <w:lang w:eastAsia="ru-RU"/>
        </w:rPr>
      </w:pPr>
      <w:r w:rsidRPr="001B0CEF">
        <w:rPr>
          <w:b/>
          <w:lang w:eastAsia="ru-RU"/>
        </w:rPr>
        <w:br w:type="page"/>
      </w:r>
    </w:p>
    <w:p w14:paraId="39DD3041" w14:textId="77777777" w:rsidR="00FC74D2" w:rsidRPr="001B0CEF" w:rsidRDefault="00FC74D2" w:rsidP="00FC74D2">
      <w:pPr>
        <w:widowControl w:val="0"/>
        <w:spacing w:after="120"/>
        <w:jc w:val="center"/>
      </w:pPr>
      <w:r w:rsidRPr="001B0CEF">
        <w:rPr>
          <w:b/>
          <w:lang w:eastAsia="ru-RU"/>
        </w:rPr>
        <w:lastRenderedPageBreak/>
        <w:t>Таблица 2. Периодическая отчетность, предоставляемая клиринговыми участниками, "фондовой" категории и/или категории "деривативы" ежеквартально не позднее даты, установленной регулирующим органом государства или юрисдикции, в соответствии с законодательством которого учрежден клиринговый участник</w:t>
      </w:r>
    </w:p>
    <w:p w14:paraId="75910EDE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0"/>
        <w:gridCol w:w="5673"/>
        <w:gridCol w:w="8387"/>
      </w:tblGrid>
      <w:tr w:rsidR="00FC74D2" w:rsidRPr="001B0CEF" w14:paraId="7CB4C3D2" w14:textId="77777777" w:rsidTr="000509A2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8F45202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FFAFE34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Название документа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AF6E4CF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Примечания</w:t>
            </w:r>
          </w:p>
        </w:tc>
      </w:tr>
      <w:tr w:rsidR="00FC74D2" w:rsidRPr="001B0CEF" w14:paraId="236CC673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3DC93B56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А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6BF62962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1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D9E77F4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2</w:t>
            </w:r>
          </w:p>
        </w:tc>
      </w:tr>
      <w:tr w:rsidR="00FC74D2" w:rsidRPr="001B0CEF" w14:paraId="16D47AB6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74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1.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957" w14:textId="77777777" w:rsidR="00FC74D2" w:rsidRPr="001B0CEF" w:rsidRDefault="00FC74D2" w:rsidP="000509A2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Промежуточная финансовая отчетность к за отчетный квартал (в случае наличия дочерней организации (дочерних организаций) – консолидированная финансовая отчетность и отдельная финансовая отчетность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838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Указанная финансовая отчетность должна быть</w:t>
            </w:r>
            <w:r w:rsidRPr="001B0CEF">
              <w:rPr>
                <w:rFonts w:cs="Arial"/>
                <w:lang w:eastAsia="ru-RU"/>
              </w:rPr>
              <w:t xml:space="preserve"> составлена в соответствии </w:t>
            </w:r>
            <w:r w:rsidRPr="001B0CEF">
              <w:rPr>
                <w:lang w:eastAsia="ru-RU"/>
              </w:rPr>
              <w:t>с международными стандартами финансовой отчетности или стандартами финансовой отчетности, действующими в Соединенных Штатах Америки,</w:t>
            </w:r>
            <w:r w:rsidRPr="001B0CEF">
              <w:rPr>
                <w:rFonts w:cs="Arial"/>
                <w:lang w:eastAsia="ru-RU"/>
              </w:rPr>
              <w:t xml:space="preserve"> и должна состоять из отчетов о финансовом положении и совокупном доходе</w:t>
            </w:r>
            <w:r w:rsidRPr="001B0CEF">
              <w:rPr>
                <w:lang w:eastAsia="ru-RU"/>
              </w:rPr>
              <w:t xml:space="preserve"> либо финансовая отчетность должна быть составлена в соответствии с требованиями, установленными регулирующим органом государства, в соответствии с законодательством которого учрежден иностранный клиринговый участник</w:t>
            </w:r>
          </w:p>
          <w:p w14:paraId="1BEE0F7A" w14:textId="77777777" w:rsidR="00FC74D2" w:rsidRPr="001B0CEF" w:rsidRDefault="00FC74D2" w:rsidP="000509A2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lang w:eastAsia="ru-RU"/>
              </w:rPr>
              <w:t xml:space="preserve">Предоставляется в электронном виде в формате </w:t>
            </w:r>
            <w:r w:rsidRPr="001B0CEF">
              <w:rPr>
                <w:rFonts w:cs="Arial"/>
                <w:lang w:eastAsia="ru-RU"/>
              </w:rPr>
              <w:t>.</w:t>
            </w:r>
            <w:proofErr w:type="spellStart"/>
            <w:r w:rsidRPr="001B0CEF">
              <w:rPr>
                <w:rFonts w:cs="Arial"/>
                <w:lang w:eastAsia="ru-RU"/>
              </w:rPr>
              <w:t>xls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(.</w:t>
            </w:r>
            <w:proofErr w:type="spellStart"/>
            <w:r w:rsidRPr="001B0CEF">
              <w:rPr>
                <w:rFonts w:cs="Arial"/>
                <w:lang w:eastAsia="ru-RU"/>
              </w:rPr>
              <w:t>xlsx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) или </w:t>
            </w:r>
            <w:r w:rsidRPr="001B0CEF">
              <w:rPr>
                <w:lang w:eastAsia="ru-RU"/>
              </w:rPr>
              <w:t>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</w:p>
        </w:tc>
      </w:tr>
      <w:tr w:rsidR="00FC74D2" w:rsidRPr="001B0CEF" w14:paraId="39BC9AEA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537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2.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BA9" w14:textId="77777777" w:rsidR="00FC74D2" w:rsidRPr="001B0CEF" w:rsidRDefault="00FC74D2" w:rsidP="000509A2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Сведения о значениях и расчете </w:t>
            </w:r>
            <w:proofErr w:type="spellStart"/>
            <w:r w:rsidRPr="001B0CEF">
              <w:rPr>
                <w:rFonts w:cs="Arial"/>
                <w:lang w:eastAsia="ru-RU"/>
              </w:rPr>
              <w:t>пруденциальных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нормативов и/или иных сходных по своей сути и аналогичных по своему назначению нормативов или показателей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5D3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Указанные сведения должны быть</w:t>
            </w:r>
            <w:r w:rsidRPr="001B0CEF">
              <w:rPr>
                <w:rFonts w:cs="Arial"/>
                <w:lang w:eastAsia="ru-RU"/>
              </w:rPr>
              <w:t xml:space="preserve"> составлены и рассчитаны в соответствии с законодательством, которым учрежден иностранный </w:t>
            </w:r>
            <w:r w:rsidRPr="001B0CEF">
              <w:rPr>
                <w:bCs/>
                <w:lang w:eastAsia="ru-RU"/>
              </w:rPr>
              <w:t>клиринговый участник</w:t>
            </w:r>
            <w:r w:rsidRPr="001B0CEF">
              <w:rPr>
                <w:b/>
                <w:lang w:eastAsia="ru-RU"/>
              </w:rPr>
              <w:t xml:space="preserve"> </w:t>
            </w:r>
            <w:r w:rsidRPr="001B0CEF">
              <w:rPr>
                <w:lang w:eastAsia="ru-RU"/>
              </w:rPr>
              <w:t xml:space="preserve">и предоставлены в электронном виде в формате </w:t>
            </w:r>
            <w:r w:rsidRPr="001B0CEF">
              <w:rPr>
                <w:rFonts w:cs="Arial"/>
                <w:lang w:eastAsia="ru-RU"/>
              </w:rPr>
              <w:t>.</w:t>
            </w:r>
            <w:proofErr w:type="spellStart"/>
            <w:r w:rsidRPr="001B0CEF">
              <w:rPr>
                <w:rFonts w:cs="Arial"/>
                <w:lang w:eastAsia="ru-RU"/>
              </w:rPr>
              <w:t>xls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(.</w:t>
            </w:r>
            <w:proofErr w:type="spellStart"/>
            <w:r w:rsidRPr="001B0CEF">
              <w:rPr>
                <w:rFonts w:cs="Arial"/>
                <w:lang w:eastAsia="ru-RU"/>
              </w:rPr>
              <w:t>xlsx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) или </w:t>
            </w:r>
            <w:r w:rsidRPr="001B0CEF">
              <w:rPr>
                <w:lang w:eastAsia="ru-RU"/>
              </w:rPr>
              <w:t>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</w:p>
        </w:tc>
      </w:tr>
    </w:tbl>
    <w:p w14:paraId="138FE5FE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</w:p>
    <w:p w14:paraId="1276F2BB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</w:p>
    <w:p w14:paraId="784A9EE9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  <w:r w:rsidRPr="001B0CEF">
        <w:rPr>
          <w:b/>
          <w:lang w:eastAsia="ru-RU"/>
        </w:rPr>
        <w:t>Таблица 3. Периодическая отчетность, предоставляемая клиринговыми участниками "валютной" категории ежемесячно не позднее даты, установленной регулирующим органом государства или юрисдикции, в соответствии с законодательством которого учрежден клиринговый участник</w:t>
      </w:r>
    </w:p>
    <w:p w14:paraId="61BF4C93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6159"/>
        <w:gridCol w:w="7900"/>
      </w:tblGrid>
      <w:tr w:rsidR="00FC74D2" w:rsidRPr="001B0CEF" w14:paraId="5375623C" w14:textId="77777777" w:rsidTr="000509A2">
        <w:trPr>
          <w:trHeight w:val="2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2E98E08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4FA683A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Название документа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7D501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Примечания</w:t>
            </w:r>
          </w:p>
        </w:tc>
      </w:tr>
      <w:tr w:rsidR="00FC74D2" w:rsidRPr="001B0CEF" w14:paraId="52572A8C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9466B44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А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D8DF6E0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1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A44F426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2</w:t>
            </w:r>
          </w:p>
        </w:tc>
      </w:tr>
      <w:tr w:rsidR="00FC74D2" w:rsidRPr="001B0CEF" w14:paraId="1952E104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768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5DC" w14:textId="77777777" w:rsidR="00FC74D2" w:rsidRPr="001B0CEF" w:rsidRDefault="00FC74D2" w:rsidP="000509A2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Промежуточная финансовая отчетность клирингового участника за отчетный месяц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41C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Указанная финансовая отчетность должна быть</w:t>
            </w:r>
            <w:r w:rsidRPr="001B0CEF">
              <w:rPr>
                <w:rFonts w:cs="Arial"/>
                <w:lang w:eastAsia="ru-RU"/>
              </w:rPr>
              <w:t xml:space="preserve"> составлена в соответствии </w:t>
            </w:r>
            <w:r w:rsidRPr="001B0CEF">
              <w:rPr>
                <w:lang w:eastAsia="ru-RU"/>
              </w:rPr>
              <w:t>с международными стандартами финансовой отчетности или стандартами финансовой отчетности, действующими в Соединенных Штатах Америки</w:t>
            </w:r>
            <w:r w:rsidRPr="001B0CEF">
              <w:rPr>
                <w:rFonts w:cs="Arial"/>
                <w:lang w:eastAsia="ru-RU"/>
              </w:rPr>
              <w:t xml:space="preserve"> и должна состоять из отчетов о финансовом положении и совокупном доходе</w:t>
            </w:r>
            <w:r w:rsidRPr="001B0CEF">
              <w:rPr>
                <w:lang w:eastAsia="ru-RU"/>
              </w:rPr>
              <w:t xml:space="preserve"> либо финансовая отчетность должна быть составлена в соответствии с требованиями, установленными регулирующим органом государства или юрисдикции, в </w:t>
            </w:r>
            <w:r w:rsidRPr="001B0CEF">
              <w:rPr>
                <w:lang w:eastAsia="ru-RU"/>
              </w:rPr>
              <w:lastRenderedPageBreak/>
              <w:t>соответствии с законодательством которого учрежден иностранный клиринговый участник или участник МФЦА</w:t>
            </w:r>
          </w:p>
          <w:p w14:paraId="6A17422E" w14:textId="77777777" w:rsidR="00FC74D2" w:rsidRPr="001B0CEF" w:rsidRDefault="00FC74D2" w:rsidP="000509A2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lang w:eastAsia="ru-RU"/>
              </w:rPr>
              <w:t xml:space="preserve">Предоставляется в электронном виде в формате </w:t>
            </w:r>
            <w:r w:rsidRPr="001B0CEF">
              <w:rPr>
                <w:rFonts w:cs="Arial"/>
                <w:lang w:eastAsia="ru-RU"/>
              </w:rPr>
              <w:t>.</w:t>
            </w:r>
            <w:proofErr w:type="spellStart"/>
            <w:r w:rsidRPr="001B0CEF">
              <w:rPr>
                <w:rFonts w:cs="Arial"/>
                <w:lang w:eastAsia="ru-RU"/>
              </w:rPr>
              <w:t>xls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(.</w:t>
            </w:r>
            <w:proofErr w:type="spellStart"/>
            <w:r w:rsidRPr="001B0CEF">
              <w:rPr>
                <w:rFonts w:cs="Arial"/>
                <w:lang w:eastAsia="ru-RU"/>
              </w:rPr>
              <w:t>xlsx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) или </w:t>
            </w:r>
            <w:r w:rsidRPr="001B0CEF">
              <w:rPr>
                <w:lang w:eastAsia="ru-RU"/>
              </w:rPr>
              <w:t>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</w:p>
        </w:tc>
      </w:tr>
      <w:tr w:rsidR="00FC74D2" w:rsidRPr="001B0CEF" w14:paraId="20840012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510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lastRenderedPageBreak/>
              <w:t>2.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98A" w14:textId="77777777" w:rsidR="00FC74D2" w:rsidRPr="001B0CEF" w:rsidRDefault="00FC74D2" w:rsidP="000509A2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Сведения о значениях и расчете </w:t>
            </w:r>
            <w:proofErr w:type="spellStart"/>
            <w:r w:rsidRPr="001B0CEF">
              <w:rPr>
                <w:rFonts w:cs="Arial"/>
                <w:lang w:eastAsia="ru-RU"/>
              </w:rPr>
              <w:t>пруденциальных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нормативов и/или иных сходных по своей сути и аналогичных по своему назначению нормативов или показателей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BDA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Указанные сведения должны быть</w:t>
            </w:r>
            <w:r w:rsidRPr="001B0CEF">
              <w:rPr>
                <w:rFonts w:cs="Arial"/>
                <w:lang w:eastAsia="ru-RU"/>
              </w:rPr>
              <w:t xml:space="preserve"> составлены и рассчитаны в соответствии с законодательством, которым учрежден иностранный </w:t>
            </w:r>
            <w:r w:rsidRPr="001B0CEF">
              <w:rPr>
                <w:lang w:eastAsia="ru-RU"/>
              </w:rPr>
              <w:t xml:space="preserve">клиринговый участник и предоставлены в электронном виде в формате </w:t>
            </w:r>
            <w:r w:rsidRPr="001B0CEF">
              <w:rPr>
                <w:rFonts w:cs="Arial"/>
                <w:lang w:eastAsia="ru-RU"/>
              </w:rPr>
              <w:t>.</w:t>
            </w:r>
            <w:proofErr w:type="spellStart"/>
            <w:r w:rsidRPr="001B0CEF">
              <w:rPr>
                <w:rFonts w:cs="Arial"/>
                <w:lang w:eastAsia="ru-RU"/>
              </w:rPr>
              <w:t>xls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(.</w:t>
            </w:r>
            <w:proofErr w:type="spellStart"/>
            <w:r w:rsidRPr="001B0CEF">
              <w:rPr>
                <w:rFonts w:cs="Arial"/>
                <w:lang w:eastAsia="ru-RU"/>
              </w:rPr>
              <w:t>xlsx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) или </w:t>
            </w:r>
            <w:r w:rsidRPr="001B0CEF">
              <w:rPr>
                <w:lang w:eastAsia="ru-RU"/>
              </w:rPr>
              <w:t>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</w:p>
        </w:tc>
      </w:tr>
    </w:tbl>
    <w:p w14:paraId="03037D06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</w:p>
    <w:p w14:paraId="37DFF16C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  <w:r w:rsidRPr="001B0CEF">
        <w:rPr>
          <w:b/>
          <w:lang w:eastAsia="ru-RU"/>
        </w:rPr>
        <w:t>Таблица 4. Документы и информация, предоставляемые</w:t>
      </w:r>
      <w:r w:rsidRPr="001B0CEF">
        <w:rPr>
          <w:lang w:eastAsia="ru-RU"/>
        </w:rPr>
        <w:t xml:space="preserve"> </w:t>
      </w:r>
      <w:r w:rsidRPr="001B0CEF">
        <w:rPr>
          <w:b/>
          <w:lang w:eastAsia="ru-RU"/>
        </w:rPr>
        <w:t xml:space="preserve">в сроки, </w:t>
      </w:r>
      <w:r w:rsidRPr="001B0CEF">
        <w:rPr>
          <w:b/>
          <w:lang w:eastAsia="ru-RU"/>
        </w:rPr>
        <w:br/>
        <w:t>установленные настоящим приложением</w:t>
      </w:r>
    </w:p>
    <w:p w14:paraId="253D9674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01"/>
        <w:gridCol w:w="4496"/>
        <w:gridCol w:w="4190"/>
        <w:gridCol w:w="5373"/>
      </w:tblGrid>
      <w:tr w:rsidR="00FC74D2" w:rsidRPr="001B0CEF" w14:paraId="42616D69" w14:textId="77777777" w:rsidTr="000509A2">
        <w:trPr>
          <w:trHeight w:val="289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6C19EEE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CFAF28C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Название документа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2378F6C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 xml:space="preserve">Сроки предоставления 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885DC4D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Примечания</w:t>
            </w:r>
          </w:p>
        </w:tc>
      </w:tr>
      <w:tr w:rsidR="00FC74D2" w:rsidRPr="001B0CEF" w14:paraId="1A7A835A" w14:textId="77777777" w:rsidTr="000509A2">
        <w:trPr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EAF1D4D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F03E9BE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42ADE8A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2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1BA816AC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3</w:t>
            </w:r>
          </w:p>
        </w:tc>
      </w:tr>
      <w:tr w:rsidR="00FC74D2" w:rsidRPr="001B0CEF" w14:paraId="4CC16586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D66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A67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Сведения о нарушении </w:t>
            </w:r>
            <w:r w:rsidRPr="001B0CEF">
              <w:rPr>
                <w:lang w:eastAsia="ru-RU"/>
              </w:rPr>
              <w:t xml:space="preserve">клиринговым участником </w:t>
            </w:r>
            <w:proofErr w:type="spellStart"/>
            <w:r w:rsidRPr="001B0CEF">
              <w:rPr>
                <w:rFonts w:cs="Arial"/>
                <w:lang w:eastAsia="ru-RU"/>
              </w:rPr>
              <w:t>пруденциальных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нормативов и/или иных сходных по своей сути и аналогичных по своему назначению нормативов или показателей, рассчитанных согласно законодательству государства, в соответствии с законодательством которого учрежден данный иностранный </w:t>
            </w:r>
            <w:r w:rsidRPr="001B0CEF">
              <w:rPr>
                <w:lang w:eastAsia="ru-RU"/>
              </w:rPr>
              <w:t>клиринговый участник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239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течении одного рабочего дня с даты возникновения нарушения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89E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Указанные сведения представляются в виде официального письма с указанием нарушенного норматива (нормы, лимита) и даты такого нарушения и предпринятых мероприятиях по устранению. Письмо должно быть представлено в электронном виде 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 xml:space="preserve"> и являться сканированной копией бумажной версии этого письма.</w:t>
            </w:r>
          </w:p>
        </w:tc>
      </w:tr>
      <w:tr w:rsidR="00FC74D2" w:rsidRPr="001B0CEF" w14:paraId="608B8868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6E6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3.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AA4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 xml:space="preserve">Обновленная анкета клирингового участника </w:t>
            </w:r>
            <w:r w:rsidRPr="001B0CEF">
              <w:rPr>
                <w:rFonts w:cs="Arial"/>
                <w:lang w:eastAsia="ru-RU"/>
              </w:rPr>
              <w:t>по вопросам организации внутреннего контроля в части обеспечения соблюдения режима международных экономических санкций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0B30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течение трех рабочих дней после даты получения клиринговым участником информации и/или документов, подтверждающих изменение сведений в ранее предоставленной анкете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0077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</w:p>
        </w:tc>
      </w:tr>
      <w:tr w:rsidR="00FC74D2" w:rsidRPr="001B0CEF" w14:paraId="755B64F1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9F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4.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C6C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 xml:space="preserve">Информация об изменении (изменениях, включая избрание) в составе исполнительного органа клирингового участника, а также в составе органа управления или </w:t>
            </w:r>
            <w:r w:rsidRPr="001B0CEF">
              <w:rPr>
                <w:rFonts w:cs="Arial"/>
                <w:lang w:eastAsia="ru-RU"/>
              </w:rPr>
              <w:t xml:space="preserve">наблюдательного совета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rFonts w:cs="Arial"/>
                <w:lang w:eastAsia="ru-RU"/>
              </w:rPr>
              <w:t>, если наличие такого органа предусмотрено уставом данного клирингового участника</w:t>
            </w:r>
            <w:r w:rsidRPr="001B0CEF">
              <w:rPr>
                <w:lang w:eastAsia="ru-RU"/>
              </w:rPr>
              <w:t xml:space="preserve">, с указанием состава </w:t>
            </w:r>
            <w:r w:rsidRPr="001B0CEF">
              <w:rPr>
                <w:lang w:eastAsia="ru-RU"/>
              </w:rPr>
              <w:lastRenderedPageBreak/>
              <w:t>соответствующего органа клирингового участника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E53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lastRenderedPageBreak/>
              <w:t>В течение трех рабочих дней, следующих за днем принятия соответствующего решения.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FFD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5D991854" w14:textId="77777777" w:rsidTr="000509A2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14E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5.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BA2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об изменении юридического и/или фактического места нахождения клирингового участника и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EEF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Не позднее пяти рабочих дней после дня изменения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50B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</w:tbl>
    <w:p w14:paraId="5547267B" w14:textId="77777777" w:rsidR="00FC74D2" w:rsidRPr="001B0CEF" w:rsidRDefault="00FC74D2" w:rsidP="00FC74D2">
      <w:pPr>
        <w:widowControl w:val="0"/>
        <w:spacing w:after="120"/>
        <w:rPr>
          <w:b/>
          <w:lang w:eastAsia="ru-RU"/>
        </w:rPr>
      </w:pPr>
    </w:p>
    <w:p w14:paraId="259C1FF7" w14:textId="77777777" w:rsidR="00FC74D2" w:rsidRPr="001B0CEF" w:rsidRDefault="00FC74D2" w:rsidP="00FC74D2">
      <w:pPr>
        <w:widowControl w:val="0"/>
        <w:spacing w:after="120"/>
        <w:jc w:val="center"/>
        <w:rPr>
          <w:b/>
          <w:bCs/>
          <w:lang w:eastAsia="ru-RU"/>
        </w:rPr>
      </w:pPr>
      <w:r w:rsidRPr="001B0CEF">
        <w:rPr>
          <w:b/>
          <w:lang w:eastAsia="ru-RU"/>
        </w:rPr>
        <w:t xml:space="preserve">Таблица 5. Документы и информация, предоставляемые в течение 10 рабочих дней </w:t>
      </w:r>
      <w:r w:rsidRPr="001B0CEF">
        <w:rPr>
          <w:b/>
          <w:lang w:eastAsia="ru-RU"/>
        </w:rPr>
        <w:br/>
        <w:t>после даты возникновения события</w:t>
      </w:r>
      <w:r w:rsidRPr="001B0CEF">
        <w:rPr>
          <w:b/>
          <w:bCs/>
          <w:lang w:eastAsia="ru-RU"/>
        </w:rPr>
        <w:t xml:space="preserve"> </w:t>
      </w:r>
    </w:p>
    <w:p w14:paraId="7183140E" w14:textId="77777777" w:rsidR="00FC74D2" w:rsidRPr="001B0CEF" w:rsidRDefault="00FC74D2" w:rsidP="00FC74D2">
      <w:pPr>
        <w:widowControl w:val="0"/>
        <w:spacing w:after="120"/>
        <w:jc w:val="center"/>
        <w:rPr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3"/>
        <w:gridCol w:w="4913"/>
        <w:gridCol w:w="4517"/>
        <w:gridCol w:w="4517"/>
      </w:tblGrid>
      <w:tr w:rsidR="00FC74D2" w:rsidRPr="001B0CEF" w14:paraId="3D84BEBD" w14:textId="77777777" w:rsidTr="000509A2">
        <w:trPr>
          <w:cantSplit/>
          <w:trHeight w:val="289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CA5484F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D3D5D6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Название документа/информация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8BF7C77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Дата возникновения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5168F50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Примечания</w:t>
            </w:r>
          </w:p>
        </w:tc>
      </w:tr>
      <w:tr w:rsidR="00FC74D2" w:rsidRPr="001B0CEF" w14:paraId="140D92CE" w14:textId="77777777" w:rsidTr="000509A2">
        <w:trPr>
          <w:cantSplit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89627DC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А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2383FC8A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197BF6E7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43BBBB4F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3</w:t>
            </w:r>
          </w:p>
        </w:tc>
      </w:tr>
      <w:tr w:rsidR="00FC74D2" w:rsidRPr="001B0CEF" w14:paraId="0881F096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8CA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0D1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Документ, подтверждающий государственную регистрацию (перерегистрацию) </w:t>
            </w:r>
            <w:r w:rsidRPr="001B0CEF">
              <w:rPr>
                <w:lang w:eastAsia="ru-RU"/>
              </w:rPr>
              <w:t>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E6D4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color w:val="000000"/>
                <w:lang w:eastAsia="ru-RU"/>
              </w:rPr>
            </w:pPr>
            <w:r w:rsidRPr="001B0CEF">
              <w:rPr>
                <w:lang w:eastAsia="ru-RU"/>
              </w:rPr>
              <w:t>Дата получения клиринговым участником свидетельства (справки) о государственной перерегистрации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FA2" w14:textId="77777777" w:rsidR="00FC74D2" w:rsidRPr="001B0CEF" w:rsidRDefault="00FC74D2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color w:val="000000"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  <w:p w14:paraId="550591AB" w14:textId="77777777" w:rsidR="00FC74D2" w:rsidRPr="001B0CEF" w:rsidRDefault="00FC74D2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color w:val="000000"/>
                <w:lang w:eastAsia="ru-RU"/>
              </w:rPr>
            </w:pPr>
            <w:r w:rsidRPr="001B0CEF">
              <w:rPr>
                <w:color w:val="000000"/>
                <w:lang w:eastAsia="ru-RU"/>
              </w:rPr>
              <w:t>В соответствии с применимым законодательством.</w:t>
            </w:r>
          </w:p>
          <w:p w14:paraId="51B22277" w14:textId="77777777" w:rsidR="00FC74D2" w:rsidRPr="001B0CEF" w:rsidRDefault="00FC74D2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lang w:eastAsia="ru-RU"/>
              </w:rPr>
            </w:pPr>
            <w:r w:rsidRPr="001B0CEF">
              <w:rPr>
                <w:lang w:eastAsia="ru-RU"/>
              </w:rPr>
              <w:t>Предоставляется также в виде оригинала (подлинника) либо нотариально удостоверенной копии.</w:t>
            </w:r>
          </w:p>
          <w:p w14:paraId="39E104CD" w14:textId="77777777" w:rsidR="00FC74D2" w:rsidRPr="001B0CEF" w:rsidRDefault="00FC74D2" w:rsidP="000509A2">
            <w:pPr>
              <w:widowControl w:val="0"/>
              <w:tabs>
                <w:tab w:val="left" w:pos="33"/>
              </w:tabs>
              <w:spacing w:before="60" w:after="60"/>
              <w:ind w:left="33" w:hanging="33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В случае предоставления электронного документа нотариального удостоверения не требуется, если имеется возможность проверить достоверность документа через интернет-ресурс органа, выдавшего этот электронный документ</w:t>
            </w:r>
          </w:p>
        </w:tc>
      </w:tr>
      <w:tr w:rsidR="00FC74D2" w:rsidRPr="001B0CEF" w14:paraId="3F2D2C17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23C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5.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D65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color w:val="000000"/>
                <w:lang w:eastAsia="ru-RU"/>
              </w:rPr>
              <w:t>Информация о</w:t>
            </w:r>
            <w:r w:rsidRPr="001B0CEF">
              <w:rPr>
                <w:rFonts w:eastAsia="Calibri"/>
                <w:b/>
                <w:lang w:eastAsia="ru-RU"/>
              </w:rPr>
              <w:t xml:space="preserve"> </w:t>
            </w:r>
            <w:r w:rsidRPr="001B0CEF">
              <w:rPr>
                <w:rFonts w:eastAsia="Calibri"/>
                <w:lang w:eastAsia="ru-RU"/>
              </w:rPr>
              <w:t xml:space="preserve">решении суда о принудительной ликвидации или реорганизации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rFonts w:eastAsia="Calibri"/>
                <w:lang w:eastAsia="ru-RU"/>
              </w:rPr>
              <w:t>, а также о принудительной ликвидации или реорганизации его дочерних и зависимых организаций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06F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bCs/>
                <w:lang w:eastAsia="ru-RU"/>
              </w:rPr>
              <w:t>Дата вступления в законную силу соответствующего решения суда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CDF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185AAACB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978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lastRenderedPageBreak/>
              <w:t>6.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5A4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 решениях, принятых общим собранием акционеров (участников) или единственным акционером (участником)</w:t>
            </w:r>
            <w:r w:rsidRPr="001B0CEF">
              <w:rPr>
                <w:rFonts w:cs="Arial"/>
                <w:lang w:eastAsia="ru-RU"/>
              </w:rPr>
              <w:t xml:space="preserve"> </w:t>
            </w:r>
            <w:r w:rsidRPr="001B0CEF">
              <w:rPr>
                <w:lang w:eastAsia="ru-RU"/>
              </w:rPr>
              <w:t>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2E47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bCs/>
                <w:lang w:eastAsia="ru-RU"/>
              </w:rPr>
              <w:t>Дата принятия решения общего собрания акционеров (участников) или единственным акционером (участником)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806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6BDAD92B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4B3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8.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7C1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 составе акционеров (участников) клирингового участника, и/или об изменении в составе акционеров (участников), владеющих 10 и более процентами голосующих акций (долей участия) 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333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получения клиринговым участником документов, подтверждающих регистрацию изменений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E6E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71A5B86D" w14:textId="77777777" w:rsidTr="000509A2">
        <w:trPr>
          <w:cantSplit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686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9.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EEA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Информация о наступлении обстоятельств, носящих чрезвычайный характер, в результате которых было уничтожено имущество клирингового участника, балансовая стоимость которого составляла 10 и более процентов от общего размера активов клирингового участника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7DA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возникновения обстоятельств, носящих чрезвычайный характер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EF3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</w:tbl>
    <w:p w14:paraId="7DA119DE" w14:textId="77777777" w:rsidR="00FC74D2" w:rsidRPr="001B0CEF" w:rsidRDefault="00FC74D2" w:rsidP="00FC74D2">
      <w:pPr>
        <w:widowControl w:val="0"/>
        <w:spacing w:after="120"/>
        <w:rPr>
          <w:b/>
          <w:lang w:eastAsia="ru-RU"/>
        </w:rPr>
      </w:pPr>
    </w:p>
    <w:p w14:paraId="286A459F" w14:textId="77777777" w:rsidR="00FC74D2" w:rsidRPr="001B0CEF" w:rsidRDefault="00FC74D2" w:rsidP="00FC74D2">
      <w:pPr>
        <w:rPr>
          <w:b/>
          <w:lang w:eastAsia="ru-RU"/>
        </w:rPr>
      </w:pPr>
      <w:r w:rsidRPr="001B0CEF">
        <w:rPr>
          <w:b/>
          <w:lang w:eastAsia="ru-RU"/>
        </w:rPr>
        <w:br w:type="page"/>
      </w:r>
    </w:p>
    <w:p w14:paraId="0FFDB4DD" w14:textId="77777777" w:rsidR="00FC74D2" w:rsidRPr="001B0CEF" w:rsidRDefault="00FC74D2" w:rsidP="00FC74D2">
      <w:pPr>
        <w:widowControl w:val="0"/>
        <w:spacing w:after="120"/>
        <w:jc w:val="center"/>
        <w:rPr>
          <w:b/>
          <w:lang w:eastAsia="ru-RU"/>
        </w:rPr>
      </w:pPr>
      <w:r w:rsidRPr="001B0CEF">
        <w:rPr>
          <w:b/>
          <w:lang w:eastAsia="ru-RU"/>
        </w:rPr>
        <w:lastRenderedPageBreak/>
        <w:t xml:space="preserve">Таблица 6. Документы и информация, предоставляемые в течение трех рабочих дней </w:t>
      </w:r>
      <w:r w:rsidRPr="001B0CEF">
        <w:rPr>
          <w:b/>
          <w:lang w:eastAsia="ru-RU"/>
        </w:rPr>
        <w:br/>
        <w:t xml:space="preserve">после даты возникновения события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38"/>
        <w:gridCol w:w="4161"/>
        <w:gridCol w:w="4348"/>
        <w:gridCol w:w="5413"/>
      </w:tblGrid>
      <w:tr w:rsidR="00FC74D2" w:rsidRPr="001B0CEF" w14:paraId="6602477A" w14:textId="77777777" w:rsidTr="000509A2">
        <w:trPr>
          <w:cantSplit/>
          <w:trHeight w:val="289"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3103C6F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№</w:t>
            </w: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br/>
              <w:t>п/п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0EB2000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Название документа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7378A4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Дата возникновения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8BF829A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bCs/>
                <w:color w:val="000000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lang w:eastAsia="ru-RU"/>
              </w:rPr>
              <w:t>Примечания</w:t>
            </w:r>
          </w:p>
        </w:tc>
      </w:tr>
      <w:tr w:rsidR="00FC74D2" w:rsidRPr="001B0CEF" w14:paraId="26226E77" w14:textId="77777777" w:rsidTr="000509A2">
        <w:trPr>
          <w:cantSplit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007D0524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73AE62E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099D6415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761531BF" w14:textId="77777777" w:rsidR="00FC74D2" w:rsidRPr="001B0CEF" w:rsidRDefault="00FC74D2" w:rsidP="000509A2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0CEF">
              <w:rPr>
                <w:rFonts w:ascii="Arial Narrow" w:hAnsi="Arial Narrow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FC74D2" w:rsidRPr="001B0CEF" w14:paraId="0F2A80BF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B4C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1.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1B2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 получении клиринговым участником разрешения (лицензии) на осуществление каких-либо видов деятельности, приостановлении или прекращении действия, ранее полученных, клиринговым участником разрешений (лицензий) на осуществление каких-либо видов деятельности (действий) с приложением копий соответствующих документов (разрешений, лицензий, иное)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79E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bCs/>
                <w:lang w:eastAsia="ru-RU"/>
              </w:rPr>
              <w:t xml:space="preserve">Дата получения </w:t>
            </w:r>
            <w:r w:rsidRPr="001B0CEF">
              <w:rPr>
                <w:lang w:eastAsia="ru-RU"/>
              </w:rPr>
              <w:t>клиринговым участником</w:t>
            </w:r>
            <w:r w:rsidRPr="001B0CEF">
              <w:rPr>
                <w:bCs/>
                <w:lang w:eastAsia="ru-RU"/>
              </w:rPr>
              <w:t xml:space="preserve"> соответствующих документов, подтверждающих получение иностранным </w:t>
            </w:r>
            <w:r w:rsidRPr="001B0CEF">
              <w:rPr>
                <w:lang w:eastAsia="ru-RU"/>
              </w:rPr>
              <w:t>клиринговым участником</w:t>
            </w:r>
            <w:r w:rsidRPr="001B0CEF">
              <w:rPr>
                <w:bCs/>
                <w:lang w:eastAsia="ru-RU"/>
              </w:rPr>
              <w:t xml:space="preserve"> разрешения (лицензии) на осуществление каких-либо видов деятельности (действий), приостановление или прекращение действия, ранее полученных, </w:t>
            </w:r>
            <w:r w:rsidRPr="001B0CEF">
              <w:rPr>
                <w:lang w:eastAsia="ru-RU"/>
              </w:rPr>
              <w:t>клиринговым участником</w:t>
            </w:r>
            <w:r w:rsidRPr="001B0CEF">
              <w:rPr>
                <w:bCs/>
                <w:lang w:eastAsia="ru-RU"/>
              </w:rPr>
              <w:t xml:space="preserve"> разрешений (лицензий) на осуществление каких-либо видов деятельности (действий)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F46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Копии лицензий на осуществление брокерской и дилерской деятельности на рынке ценных бумаг и на проведение банковских операций в иностранной и национальной валютах должны быть нотариально удостоверены.</w:t>
            </w:r>
          </w:p>
          <w:p w14:paraId="2A9AC955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случае предоставления электронного документа нотариального удостоверения не требуется, если имеется возможность проверить достоверность документа через интернет-ресурс органа, выдавшего этот электронный документ</w:t>
            </w:r>
          </w:p>
        </w:tc>
      </w:tr>
      <w:tr w:rsidR="00FC74D2" w:rsidRPr="001B0CEF" w14:paraId="5FB191EB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212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2.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FB4" w14:textId="77777777" w:rsidR="00FC74D2" w:rsidRPr="001B0CEF" w:rsidDel="00DA2668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 наложении ареста на имущество (снятии с ареста имущества) клирингового участника, стоимость которого составляет 10 и более процентов от размера общей балансовой стоимости активов клирингового участника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D46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Дата получения иностранным клиринговым участником решения о наложении ареста на имущество (снятии с ареста имущества) иностранного клирингового участника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AF2" w14:textId="77777777" w:rsidR="00FC74D2" w:rsidRPr="00D84D1B" w:rsidDel="00804A86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i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2F075405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D5D0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3.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68E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 возбуждении в суде дела по корпоративному спору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ED4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течение трех рабочих дней после даты получения клиринговым участником соответствующего судебного извещения (вызова) по гражданскому делу по корпоративному спору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286" w14:textId="77777777" w:rsidR="00FC74D2" w:rsidRPr="00D84D1B" w:rsidDel="00804A86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i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0C847C31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887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lastRenderedPageBreak/>
              <w:t>4.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C2C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bCs/>
                <w:lang w:eastAsia="ru-RU"/>
              </w:rPr>
              <w:t xml:space="preserve">Информация о передаче в залог (перезалог) имущества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bCs/>
                <w:lang w:eastAsia="ru-RU"/>
              </w:rPr>
              <w:t xml:space="preserve"> на сумму, составляющую 10 и более процентов от размера общей балансовой стоимости активов данного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bCs/>
                <w:lang w:eastAsia="ru-RU"/>
              </w:rPr>
              <w:t xml:space="preserve">, а также снятии с залога (перезалога) имущества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bCs/>
                <w:lang w:eastAsia="ru-RU"/>
              </w:rPr>
              <w:t xml:space="preserve"> на сумму, составляющую 10 и более процентов от размера общей балансовой стоимости активов данного </w:t>
            </w:r>
            <w:r w:rsidRPr="001B0CEF">
              <w:rPr>
                <w:lang w:eastAsia="ru-RU"/>
              </w:rPr>
              <w:t>клирингового участника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89C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Дата получения клиринговым участником документов, подтверждающих регистрацию договора о залоге (перезалоге) – в отношении имущества, залог которого подлежит регистрации в соответствии с законодательными страны резиден</w:t>
            </w:r>
            <w:r>
              <w:rPr>
                <w:lang w:eastAsia="ru-RU"/>
              </w:rPr>
              <w:t>т</w:t>
            </w:r>
            <w:r w:rsidRPr="001B0CEF">
              <w:rPr>
                <w:lang w:eastAsia="ru-RU"/>
              </w:rPr>
              <w:t>ства.</w:t>
            </w:r>
          </w:p>
          <w:p w14:paraId="38ABB6C7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bCs/>
                <w:lang w:eastAsia="ru-RU"/>
              </w:rPr>
              <w:t xml:space="preserve">Дата заключения договора о залоге (перезалоге) имущества </w:t>
            </w:r>
            <w:r w:rsidRPr="001B0CEF">
              <w:rPr>
                <w:lang w:eastAsia="ru-RU"/>
              </w:rPr>
              <w:t>иностранного</w:t>
            </w:r>
            <w:r w:rsidRPr="001B0CEF">
              <w:rPr>
                <w:bCs/>
                <w:lang w:eastAsia="ru-RU"/>
              </w:rPr>
              <w:t xml:space="preserve"> </w:t>
            </w:r>
            <w:r w:rsidRPr="001B0CEF">
              <w:rPr>
                <w:lang w:eastAsia="ru-RU"/>
              </w:rPr>
              <w:t xml:space="preserve">клирингового участника </w:t>
            </w:r>
            <w:r w:rsidRPr="001B0CEF">
              <w:rPr>
                <w:bCs/>
                <w:lang w:eastAsia="ru-RU"/>
              </w:rPr>
              <w:t xml:space="preserve">– в отношении имущества, залог которого не подлежит регистрации в соответствии </w:t>
            </w:r>
            <w:r w:rsidRPr="001B0CEF">
              <w:rPr>
                <w:lang w:eastAsia="ru-RU"/>
              </w:rPr>
              <w:t>с законодательными страны резиден</w:t>
            </w:r>
            <w:r>
              <w:rPr>
                <w:lang w:eastAsia="ru-RU"/>
              </w:rPr>
              <w:t>т</w:t>
            </w:r>
            <w:r w:rsidRPr="001B0CEF">
              <w:rPr>
                <w:lang w:eastAsia="ru-RU"/>
              </w:rPr>
              <w:t>ства.</w:t>
            </w:r>
          </w:p>
          <w:p w14:paraId="2E8FBEBF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получения клиринговым участником документов, подтверждающих снятие с залога (перезалога) имущества иностранного клирингового участника.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FAE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75AF2289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F7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5.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225F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Информация о получении клиринговым участником займа в размере, составляющем 25 и более процентов от размера общей балансовой стоимости активов клирингового участника, а также о полном погашении основного долга и начисленного вознаграждения по данному займу</w:t>
            </w:r>
            <w:r w:rsidRPr="001B0CEF" w:rsidDel="00B00271">
              <w:rPr>
                <w:lang w:eastAsia="ru-RU"/>
              </w:rPr>
              <w:t xml:space="preserve">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54B4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Дата заключения клиринговым участником договора о займе или кредитной линии или полного погашения клиринговым участником основного долга и начисленного вознаграждения по данному займу или кредитной линии.</w:t>
            </w:r>
          </w:p>
          <w:p w14:paraId="13714E17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Когда общая сумма полученных и непогашенных займов с учетом начисленного вознаграждения в рамках одной кредитной линии достигнет 25 и более процентов от размера общей балансовой стоимости активов клирингового участника.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3E1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412208F1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F17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1B0CEF">
              <w:rPr>
                <w:lang w:eastAsia="ru-RU"/>
              </w:rPr>
              <w:t>6.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FCA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Информация об изменении клиринговым участником основных видов деятельности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1CD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Дата получения зарегистрированного в уполномоченном органе устава и (или) изменений в устав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468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51B947C7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340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1B0CEF">
              <w:rPr>
                <w:lang w:eastAsia="ru-RU"/>
              </w:rPr>
              <w:lastRenderedPageBreak/>
              <w:t>7.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5F3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 xml:space="preserve">Информация об иных событиях, затрагивающих интересы акционеров (участников) клирингового участника и/или инвесторов, в соответствии с уставом клирингового участника, а также проспектом выпуска его ценных бумаг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41B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bCs/>
                <w:lang w:eastAsia="ru-RU"/>
              </w:rPr>
              <w:t xml:space="preserve">Дата возникновения иных событий затрагивающих интересы акционеров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bCs/>
                <w:lang w:eastAsia="ru-RU"/>
              </w:rPr>
              <w:t xml:space="preserve"> и/или инвесторов, в соответствии с уставом и проспектом выпуска его ценных бумаг, если применимым законодательством не предусмотрены иные сроки доведения до сведения держателей ценных бумаг информации.</w:t>
            </w:r>
          </w:p>
          <w:p w14:paraId="7E89F7C7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bCs/>
                <w:lang w:eastAsia="ru-RU"/>
              </w:rPr>
              <w:t xml:space="preserve">Дата несоблюдения </w:t>
            </w:r>
            <w:r w:rsidRPr="001B0CEF">
              <w:rPr>
                <w:lang w:eastAsia="ru-RU"/>
              </w:rPr>
              <w:t>клиринговым участником</w:t>
            </w:r>
            <w:r w:rsidRPr="001B0CEF">
              <w:rPr>
                <w:bCs/>
                <w:lang w:eastAsia="ru-RU"/>
              </w:rPr>
              <w:t xml:space="preserve"> условий, предусмотренных проспектом выпуска негосударственных облигаций.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16F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4B4DB698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FEF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1B0CEF">
              <w:rPr>
                <w:lang w:eastAsia="ru-RU"/>
              </w:rPr>
              <w:t>8.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A38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Сведения о наложении на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rFonts w:cs="Arial"/>
                <w:lang w:eastAsia="ru-RU"/>
              </w:rPr>
              <w:t xml:space="preserve"> и/или на отдельных его работников санкций, мер воздействия судами, органами дознания и следствия, органами исполнительного производства по находящимся в их производстве уголовным и гражданским делам; о наложении ареста на его имущество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A61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получения сведений клиринговым участником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262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41B311A3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982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1B0CEF">
              <w:rPr>
                <w:lang w:eastAsia="ru-RU"/>
              </w:rPr>
              <w:t>9.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DB2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Сведения о невыполнении требований законодательства государства, в соответствии с законодательством которого учрежден </w:t>
            </w:r>
            <w:r w:rsidRPr="001B0CEF">
              <w:rPr>
                <w:lang w:eastAsia="ru-RU"/>
              </w:rPr>
              <w:t>клиринговый участник</w:t>
            </w:r>
            <w:r w:rsidRPr="001B0CEF">
              <w:rPr>
                <w:rFonts w:cs="Arial"/>
                <w:lang w:eastAsia="ru-RU"/>
              </w:rPr>
              <w:t>, за которые к нему были применены какие-либо меры воздействия со стороны регулирующего органа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BE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получения сведений клиринговым участником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FE4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7D282B8F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2D1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1B0CEF">
              <w:rPr>
                <w:lang w:eastAsia="ru-RU"/>
              </w:rPr>
              <w:lastRenderedPageBreak/>
              <w:t>10.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547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Сведения об отстранении </w:t>
            </w:r>
            <w:r w:rsidRPr="001B0CEF">
              <w:rPr>
                <w:lang w:eastAsia="ru-RU"/>
              </w:rPr>
              <w:t>клирингового участника</w:t>
            </w:r>
            <w:r w:rsidRPr="001B0CEF">
              <w:rPr>
                <w:rFonts w:cs="Arial"/>
                <w:lang w:eastAsia="ru-RU"/>
              </w:rPr>
              <w:t xml:space="preserve"> или его трейдера (трейдеров) от участия в торгах всеми или отдельными финансовыми инструментами, о приостановлении или прекращении членства по всем или отдельным категориям на иностранной (фондовой) бирже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E55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получения сведений иностранным клиринговым участником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7F9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  <w:tr w:rsidR="00FC74D2" w:rsidRPr="001B0CEF" w14:paraId="0C616FC3" w14:textId="77777777" w:rsidTr="000509A2">
        <w:trPr>
          <w:cantSplit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553" w14:textId="77777777" w:rsidR="00FC74D2" w:rsidRPr="001B0CEF" w:rsidRDefault="00FC74D2" w:rsidP="000509A2">
            <w:pPr>
              <w:widowControl w:val="0"/>
              <w:spacing w:before="60" w:after="60"/>
              <w:jc w:val="center"/>
              <w:rPr>
                <w:lang w:eastAsia="ru-RU"/>
              </w:rPr>
            </w:pPr>
            <w:r w:rsidRPr="001B0CEF">
              <w:rPr>
                <w:lang w:eastAsia="ru-RU"/>
              </w:rPr>
              <w:t>11.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4BF" w14:textId="77777777" w:rsidR="00FC74D2" w:rsidRPr="001B0CEF" w:rsidRDefault="00FC74D2" w:rsidP="000509A2">
            <w:pPr>
              <w:widowControl w:val="0"/>
              <w:spacing w:before="60" w:after="60"/>
              <w:rPr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Сведения о несоблюдении требований, предъявляемых иностранной (фондовой) биржей, членом которой иностранный член является, к своим членам, и применении вследствие этого к нему каких-либо мер воздействия данной биржей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194" w14:textId="77777777" w:rsidR="00FC74D2" w:rsidRPr="001B0CEF" w:rsidRDefault="00FC74D2" w:rsidP="000509A2">
            <w:pPr>
              <w:widowControl w:val="0"/>
              <w:spacing w:before="60" w:after="60"/>
              <w:rPr>
                <w:bCs/>
                <w:lang w:eastAsia="ru-RU"/>
              </w:rPr>
            </w:pPr>
            <w:r w:rsidRPr="001B0CEF">
              <w:rPr>
                <w:lang w:eastAsia="ru-RU"/>
              </w:rPr>
              <w:t>Дата получения сведений иностранным клиринговым участником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B78" w14:textId="77777777" w:rsidR="00FC74D2" w:rsidRPr="001B0CEF" w:rsidRDefault="00FC74D2" w:rsidP="000509A2">
            <w:pPr>
              <w:widowControl w:val="0"/>
              <w:tabs>
                <w:tab w:val="left" w:pos="0"/>
              </w:tabs>
              <w:spacing w:before="60" w:after="60"/>
              <w:rPr>
                <w:lang w:eastAsia="ru-RU"/>
              </w:rPr>
            </w:pPr>
            <w:r w:rsidRPr="001B0CEF">
              <w:rPr>
                <w:lang w:eastAsia="ru-RU"/>
              </w:rPr>
              <w:t>В формате .</w:t>
            </w:r>
            <w:proofErr w:type="spellStart"/>
            <w:r w:rsidRPr="001B0CEF">
              <w:rPr>
                <w:lang w:eastAsia="ru-RU"/>
              </w:rPr>
              <w:t>pdf</w:t>
            </w:r>
            <w:proofErr w:type="spellEnd"/>
            <w:r w:rsidRPr="001B0CEF">
              <w:rPr>
                <w:lang w:eastAsia="ru-RU"/>
              </w:rPr>
              <w:t>.</w:t>
            </w:r>
          </w:p>
        </w:tc>
      </w:tr>
    </w:tbl>
    <w:p w14:paraId="27BD097C" w14:textId="77777777" w:rsidR="005B36C5" w:rsidRDefault="005B36C5"/>
    <w:sectPr w:rsidR="005B36C5" w:rsidSect="00FC74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6"/>
    <w:rsid w:val="00211586"/>
    <w:rsid w:val="005B36C5"/>
    <w:rsid w:val="00942246"/>
    <w:rsid w:val="00F5276E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46BC-4C3D-4D94-A775-2946886C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D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2009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2026-02-02T10:49:00Z</dcterms:created>
  <dcterms:modified xsi:type="dcterms:W3CDTF">2026-02-02T10:49:00Z</dcterms:modified>
</cp:coreProperties>
</file>