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B676" w14:textId="77777777" w:rsidR="006523D5" w:rsidRDefault="00237FC3">
      <w:pPr>
        <w:pStyle w:val="1"/>
        <w:spacing w:before="85"/>
        <w:ind w:left="6475"/>
      </w:pPr>
      <w:bookmarkStart w:id="0" w:name="Annex_3"/>
      <w:bookmarkEnd w:id="0"/>
      <w:r>
        <w:t>Annex</w:t>
      </w:r>
      <w:r>
        <w:rPr>
          <w:spacing w:val="-7"/>
        </w:rPr>
        <w:t xml:space="preserve"> </w:t>
      </w:r>
      <w:r>
        <w:rPr>
          <w:spacing w:val="-10"/>
        </w:rPr>
        <w:t>3</w:t>
      </w:r>
    </w:p>
    <w:p w14:paraId="09B66E5D" w14:textId="77777777" w:rsidR="006523D5" w:rsidRDefault="00237FC3">
      <w:pPr>
        <w:pStyle w:val="a3"/>
        <w:spacing w:before="125"/>
        <w:ind w:left="6475"/>
      </w:pPr>
      <w:r>
        <w:t>to</w:t>
      </w:r>
      <w:r>
        <w:rPr>
          <w:spacing w:val="-5"/>
        </w:rPr>
        <w:t xml:space="preserve"> </w:t>
      </w:r>
      <w:r>
        <w:t>the</w:t>
      </w:r>
      <w:r>
        <w:rPr>
          <w:spacing w:val="-5"/>
        </w:rPr>
        <w:t xml:space="preserve"> </w:t>
      </w:r>
      <w:r>
        <w:t>Rules</w:t>
      </w:r>
      <w:r>
        <w:rPr>
          <w:spacing w:val="-8"/>
        </w:rPr>
        <w:t xml:space="preserve"> </w:t>
      </w:r>
      <w:r>
        <w:t>of</w:t>
      </w:r>
      <w:r>
        <w:rPr>
          <w:spacing w:val="-3"/>
        </w:rPr>
        <w:t xml:space="preserve"> </w:t>
      </w:r>
      <w:r>
        <w:t>conduct</w:t>
      </w:r>
      <w:r>
        <w:rPr>
          <w:spacing w:val="-3"/>
        </w:rPr>
        <w:t xml:space="preserve"> </w:t>
      </w:r>
      <w:r>
        <w:t>of clearing activities under transactions</w:t>
      </w:r>
      <w:r>
        <w:rPr>
          <w:spacing w:val="-14"/>
        </w:rPr>
        <w:t xml:space="preserve"> </w:t>
      </w:r>
      <w:r>
        <w:t>with</w:t>
      </w:r>
      <w:r>
        <w:rPr>
          <w:spacing w:val="-14"/>
        </w:rPr>
        <w:t xml:space="preserve"> </w:t>
      </w:r>
      <w:r>
        <w:t xml:space="preserve">financial </w:t>
      </w:r>
      <w:r>
        <w:rPr>
          <w:spacing w:val="-2"/>
        </w:rPr>
        <w:t>instruments</w:t>
      </w:r>
    </w:p>
    <w:p w14:paraId="36B4A0AE" w14:textId="77777777" w:rsidR="006523D5" w:rsidRDefault="006523D5">
      <w:pPr>
        <w:pStyle w:val="a3"/>
      </w:pPr>
    </w:p>
    <w:p w14:paraId="4A850435" w14:textId="77777777" w:rsidR="006523D5" w:rsidRDefault="006523D5">
      <w:pPr>
        <w:pStyle w:val="a3"/>
        <w:spacing w:before="6"/>
      </w:pPr>
    </w:p>
    <w:p w14:paraId="6BFF4CA7" w14:textId="77777777" w:rsidR="006523D5" w:rsidRDefault="00237FC3">
      <w:pPr>
        <w:pStyle w:val="a4"/>
      </w:pPr>
      <w:r>
        <w:rPr>
          <w:color w:val="800000"/>
        </w:rPr>
        <w:t>A</w:t>
      </w:r>
      <w:r>
        <w:rPr>
          <w:color w:val="800000"/>
          <w:spacing w:val="-10"/>
        </w:rPr>
        <w:t xml:space="preserve"> </w:t>
      </w:r>
      <w:r>
        <w:rPr>
          <w:color w:val="800000"/>
        </w:rPr>
        <w:t>P</w:t>
      </w:r>
      <w:r>
        <w:rPr>
          <w:color w:val="800000"/>
          <w:spacing w:val="-12"/>
        </w:rPr>
        <w:t xml:space="preserve"> </w:t>
      </w:r>
      <w:proofErr w:type="spellStart"/>
      <w:r>
        <w:rPr>
          <w:color w:val="800000"/>
        </w:rPr>
        <w:t>P</w:t>
      </w:r>
      <w:proofErr w:type="spellEnd"/>
      <w:r>
        <w:rPr>
          <w:color w:val="800000"/>
          <w:spacing w:val="-12"/>
        </w:rPr>
        <w:t xml:space="preserve"> </w:t>
      </w:r>
      <w:r>
        <w:rPr>
          <w:color w:val="800000"/>
        </w:rPr>
        <w:t>L</w:t>
      </w:r>
      <w:r>
        <w:rPr>
          <w:color w:val="800000"/>
          <w:spacing w:val="-13"/>
        </w:rPr>
        <w:t xml:space="preserve"> </w:t>
      </w:r>
      <w:r>
        <w:rPr>
          <w:color w:val="800000"/>
        </w:rPr>
        <w:t>I</w:t>
      </w:r>
      <w:r>
        <w:rPr>
          <w:color w:val="800000"/>
          <w:spacing w:val="-8"/>
        </w:rPr>
        <w:t xml:space="preserve"> </w:t>
      </w:r>
      <w:r>
        <w:rPr>
          <w:color w:val="800000"/>
        </w:rPr>
        <w:t>C</w:t>
      </w:r>
      <w:r>
        <w:rPr>
          <w:color w:val="800000"/>
          <w:spacing w:val="-10"/>
        </w:rPr>
        <w:t xml:space="preserve"> </w:t>
      </w:r>
      <w:r>
        <w:rPr>
          <w:color w:val="800000"/>
        </w:rPr>
        <w:t>A</w:t>
      </w:r>
      <w:r>
        <w:rPr>
          <w:color w:val="800000"/>
          <w:spacing w:val="-15"/>
        </w:rPr>
        <w:t xml:space="preserve"> </w:t>
      </w:r>
      <w:r>
        <w:rPr>
          <w:color w:val="800000"/>
        </w:rPr>
        <w:t>T</w:t>
      </w:r>
      <w:r>
        <w:rPr>
          <w:color w:val="800000"/>
          <w:spacing w:val="-13"/>
        </w:rPr>
        <w:t xml:space="preserve"> </w:t>
      </w:r>
      <w:r>
        <w:rPr>
          <w:color w:val="800000"/>
        </w:rPr>
        <w:t>I</w:t>
      </w:r>
      <w:r>
        <w:rPr>
          <w:color w:val="800000"/>
          <w:spacing w:val="-8"/>
        </w:rPr>
        <w:t xml:space="preserve"> </w:t>
      </w:r>
      <w:r>
        <w:rPr>
          <w:color w:val="800000"/>
        </w:rPr>
        <w:t>O</w:t>
      </w:r>
      <w:r>
        <w:rPr>
          <w:color w:val="800000"/>
          <w:spacing w:val="-11"/>
        </w:rPr>
        <w:t xml:space="preserve"> </w:t>
      </w:r>
      <w:r>
        <w:rPr>
          <w:color w:val="800000"/>
          <w:spacing w:val="-10"/>
        </w:rPr>
        <w:t>N</w:t>
      </w:r>
    </w:p>
    <w:p w14:paraId="3C2C95FC" w14:textId="77777777" w:rsidR="006523D5" w:rsidRDefault="00237FC3">
      <w:pPr>
        <w:spacing w:before="119"/>
        <w:ind w:left="148" w:right="7"/>
        <w:jc w:val="center"/>
        <w:rPr>
          <w:rFonts w:ascii="Times New Roman"/>
          <w:b/>
          <w:sz w:val="24"/>
        </w:rPr>
      </w:pPr>
      <w:r>
        <w:rPr>
          <w:rFonts w:ascii="Times New Roman"/>
          <w:b/>
          <w:color w:val="800000"/>
          <w:sz w:val="24"/>
        </w:rPr>
        <w:t>to assign the</w:t>
      </w:r>
      <w:r>
        <w:rPr>
          <w:rFonts w:ascii="Times New Roman"/>
          <w:b/>
          <w:color w:val="800000"/>
          <w:spacing w:val="-6"/>
          <w:sz w:val="24"/>
        </w:rPr>
        <w:t xml:space="preserve"> </w:t>
      </w:r>
      <w:r>
        <w:rPr>
          <w:rFonts w:ascii="Times New Roman"/>
          <w:b/>
          <w:color w:val="800000"/>
          <w:sz w:val="24"/>
        </w:rPr>
        <w:t>sign</w:t>
      </w:r>
      <w:r>
        <w:rPr>
          <w:rFonts w:ascii="Times New Roman"/>
          <w:b/>
          <w:color w:val="800000"/>
          <w:spacing w:val="1"/>
          <w:sz w:val="24"/>
        </w:rPr>
        <w:t xml:space="preserve"> </w:t>
      </w:r>
      <w:r>
        <w:rPr>
          <w:rFonts w:ascii="Times New Roman"/>
          <w:b/>
          <w:color w:val="800000"/>
          <w:sz w:val="24"/>
        </w:rPr>
        <w:t>of</w:t>
      </w:r>
      <w:r>
        <w:rPr>
          <w:rFonts w:ascii="Times New Roman"/>
          <w:b/>
          <w:color w:val="800000"/>
          <w:spacing w:val="-4"/>
          <w:sz w:val="24"/>
        </w:rPr>
        <w:t xml:space="preserve"> </w:t>
      </w:r>
      <w:r>
        <w:rPr>
          <w:rFonts w:ascii="Times New Roman"/>
          <w:b/>
          <w:color w:val="800000"/>
          <w:sz w:val="24"/>
        </w:rPr>
        <w:t>voluntary</w:t>
      </w:r>
      <w:r>
        <w:rPr>
          <w:rFonts w:ascii="Times New Roman"/>
          <w:b/>
          <w:color w:val="800000"/>
          <w:spacing w:val="1"/>
          <w:sz w:val="24"/>
        </w:rPr>
        <w:t xml:space="preserve"> </w:t>
      </w:r>
      <w:r>
        <w:rPr>
          <w:rFonts w:ascii="Times New Roman"/>
          <w:b/>
          <w:color w:val="800000"/>
          <w:spacing w:val="-2"/>
          <w:sz w:val="24"/>
        </w:rPr>
        <w:t>provider</w:t>
      </w:r>
    </w:p>
    <w:p w14:paraId="1582AD01" w14:textId="77777777" w:rsidR="006523D5" w:rsidRDefault="00237FC3">
      <w:pPr>
        <w:spacing w:before="6" w:line="235" w:lineRule="auto"/>
        <w:ind w:left="148"/>
        <w:jc w:val="center"/>
        <w:rPr>
          <w:rFonts w:ascii="Arial"/>
          <w:i/>
          <w:sz w:val="20"/>
        </w:rPr>
      </w:pPr>
      <w:r>
        <w:rPr>
          <w:rFonts w:ascii="Times New Roman"/>
          <w:b/>
          <w:color w:val="800000"/>
          <w:sz w:val="24"/>
        </w:rPr>
        <w:t>with respect</w:t>
      </w:r>
      <w:r>
        <w:rPr>
          <w:rFonts w:ascii="Times New Roman"/>
          <w:b/>
          <w:color w:val="800000"/>
          <w:spacing w:val="-1"/>
          <w:sz w:val="24"/>
        </w:rPr>
        <w:t xml:space="preserve"> </w:t>
      </w:r>
      <w:r>
        <w:rPr>
          <w:rFonts w:ascii="Times New Roman"/>
          <w:b/>
          <w:color w:val="800000"/>
          <w:sz w:val="24"/>
        </w:rPr>
        <w:t>to</w:t>
      </w:r>
      <w:r>
        <w:rPr>
          <w:rFonts w:ascii="Times New Roman"/>
          <w:b/>
          <w:color w:val="800000"/>
          <w:spacing w:val="-2"/>
          <w:sz w:val="24"/>
        </w:rPr>
        <w:t xml:space="preserve"> </w:t>
      </w:r>
      <w:r>
        <w:rPr>
          <w:rFonts w:ascii="Times New Roman"/>
          <w:b/>
          <w:color w:val="800000"/>
          <w:sz w:val="24"/>
        </w:rPr>
        <w:t>the</w:t>
      </w:r>
      <w:r>
        <w:rPr>
          <w:rFonts w:ascii="Times New Roman"/>
          <w:b/>
          <w:color w:val="800000"/>
          <w:spacing w:val="-8"/>
          <w:sz w:val="24"/>
        </w:rPr>
        <w:t xml:space="preserve"> </w:t>
      </w:r>
      <w:r>
        <w:rPr>
          <w:rFonts w:ascii="Times New Roman"/>
          <w:b/>
          <w:color w:val="800000"/>
          <w:sz w:val="24"/>
        </w:rPr>
        <w:t>client trading</w:t>
      </w:r>
      <w:r>
        <w:rPr>
          <w:rFonts w:ascii="Times New Roman"/>
          <w:b/>
          <w:color w:val="800000"/>
          <w:spacing w:val="-2"/>
          <w:sz w:val="24"/>
        </w:rPr>
        <w:t xml:space="preserve"> </w:t>
      </w:r>
      <w:r>
        <w:rPr>
          <w:rFonts w:ascii="Times New Roman"/>
          <w:b/>
          <w:color w:val="800000"/>
          <w:sz w:val="24"/>
        </w:rPr>
        <w:t>and</w:t>
      </w:r>
      <w:r>
        <w:rPr>
          <w:rFonts w:ascii="Times New Roman"/>
          <w:b/>
          <w:color w:val="800000"/>
          <w:spacing w:val="-6"/>
          <w:sz w:val="24"/>
        </w:rPr>
        <w:t xml:space="preserve"> </w:t>
      </w:r>
      <w:r>
        <w:rPr>
          <w:rFonts w:ascii="Times New Roman"/>
          <w:b/>
          <w:color w:val="800000"/>
          <w:sz w:val="24"/>
        </w:rPr>
        <w:t>clearing</w:t>
      </w:r>
      <w:r>
        <w:rPr>
          <w:rFonts w:ascii="Times New Roman"/>
          <w:b/>
          <w:color w:val="800000"/>
          <w:spacing w:val="-2"/>
          <w:sz w:val="24"/>
        </w:rPr>
        <w:t xml:space="preserve"> </w:t>
      </w:r>
      <w:r>
        <w:rPr>
          <w:rFonts w:ascii="Times New Roman"/>
          <w:b/>
          <w:color w:val="800000"/>
          <w:sz w:val="24"/>
        </w:rPr>
        <w:t>account on</w:t>
      </w:r>
      <w:r>
        <w:rPr>
          <w:rFonts w:ascii="Times New Roman"/>
          <w:b/>
          <w:color w:val="800000"/>
          <w:spacing w:val="-6"/>
          <w:sz w:val="24"/>
        </w:rPr>
        <w:t xml:space="preserve"> </w:t>
      </w:r>
      <w:r>
        <w:rPr>
          <w:rFonts w:ascii="Times New Roman"/>
          <w:b/>
          <w:color w:val="800000"/>
          <w:sz w:val="24"/>
        </w:rPr>
        <w:t>the</w:t>
      </w:r>
      <w:r>
        <w:rPr>
          <w:rFonts w:ascii="Times New Roman"/>
          <w:b/>
          <w:color w:val="800000"/>
          <w:spacing w:val="-3"/>
          <w:sz w:val="24"/>
        </w:rPr>
        <w:t xml:space="preserve"> </w:t>
      </w:r>
      <w:r>
        <w:rPr>
          <w:rFonts w:ascii="Times New Roman"/>
          <w:b/>
          <w:color w:val="800000"/>
          <w:sz w:val="24"/>
        </w:rPr>
        <w:t>stock</w:t>
      </w:r>
      <w:r>
        <w:rPr>
          <w:rFonts w:ascii="Times New Roman"/>
          <w:b/>
          <w:color w:val="800000"/>
          <w:spacing w:val="-6"/>
          <w:sz w:val="24"/>
        </w:rPr>
        <w:t xml:space="preserve"> </w:t>
      </w:r>
      <w:r>
        <w:rPr>
          <w:rFonts w:ascii="Times New Roman"/>
          <w:b/>
          <w:color w:val="800000"/>
          <w:sz w:val="24"/>
        </w:rPr>
        <w:t xml:space="preserve">market </w:t>
      </w:r>
      <w:r>
        <w:rPr>
          <w:rFonts w:ascii="Arial"/>
          <w:i/>
          <w:color w:val="0000FF"/>
          <w:sz w:val="20"/>
        </w:rPr>
        <w:t>(the</w:t>
      </w:r>
      <w:r>
        <w:rPr>
          <w:rFonts w:ascii="Arial"/>
          <w:i/>
          <w:color w:val="0000FF"/>
          <w:spacing w:val="-4"/>
          <w:sz w:val="20"/>
        </w:rPr>
        <w:t xml:space="preserve"> </w:t>
      </w:r>
      <w:r>
        <w:rPr>
          <w:rFonts w:ascii="Arial"/>
          <w:i/>
          <w:color w:val="0000FF"/>
          <w:sz w:val="20"/>
        </w:rPr>
        <w:t>title</w:t>
      </w:r>
      <w:r>
        <w:rPr>
          <w:rFonts w:ascii="Arial"/>
          <w:i/>
          <w:color w:val="0000FF"/>
          <w:spacing w:val="-3"/>
          <w:sz w:val="20"/>
        </w:rPr>
        <w:t xml:space="preserve"> </w:t>
      </w:r>
      <w:r>
        <w:rPr>
          <w:rFonts w:ascii="Arial"/>
          <w:i/>
          <w:color w:val="0000FF"/>
          <w:sz w:val="20"/>
        </w:rPr>
        <w:t>is changed by decision of the Board of Directors of the Clearing Center dated April 01, 2024)</w:t>
      </w:r>
    </w:p>
    <w:p w14:paraId="5133CBA4" w14:textId="77777777" w:rsidR="006523D5" w:rsidRDefault="006523D5">
      <w:pPr>
        <w:pStyle w:val="a3"/>
        <w:rPr>
          <w:rFonts w:ascii="Arial"/>
          <w:i/>
        </w:rPr>
      </w:pPr>
    </w:p>
    <w:p w14:paraId="4B1828F8" w14:textId="77777777" w:rsidR="006523D5" w:rsidRDefault="006523D5">
      <w:pPr>
        <w:pStyle w:val="a3"/>
        <w:spacing w:before="18"/>
        <w:rPr>
          <w:rFonts w:ascii="Arial"/>
          <w:i/>
        </w:rPr>
      </w:pPr>
    </w:p>
    <w:p w14:paraId="78E89C7D" w14:textId="77777777" w:rsidR="006523D5" w:rsidRDefault="00237FC3">
      <w:pPr>
        <w:pStyle w:val="a3"/>
        <w:ind w:left="165" w:right="11"/>
        <w:jc w:val="both"/>
      </w:pPr>
      <w:r>
        <w:t>We hereby request KASE Clearing Center JSC (hereinafter referred to as the Clearing Center) to assign to the</w:t>
      </w:r>
      <w:r>
        <w:rPr>
          <w:spacing w:val="-2"/>
        </w:rPr>
        <w:t xml:space="preserve"> </w:t>
      </w:r>
      <w:r>
        <w:t>clearing participant [</w:t>
      </w:r>
      <w:r>
        <w:rPr>
          <w:rFonts w:ascii="Arial"/>
          <w:b/>
        </w:rPr>
        <w:t>full</w:t>
      </w:r>
      <w:r>
        <w:rPr>
          <w:rFonts w:ascii="Arial"/>
          <w:b/>
          <w:spacing w:val="-4"/>
        </w:rPr>
        <w:t xml:space="preserve"> </w:t>
      </w:r>
      <w:r>
        <w:rPr>
          <w:rFonts w:ascii="Arial"/>
          <w:b/>
        </w:rPr>
        <w:t>name of the clearing participant according to the certificate (other</w:t>
      </w:r>
      <w:r>
        <w:rPr>
          <w:rFonts w:ascii="Arial"/>
          <w:b/>
          <w:spacing w:val="-1"/>
        </w:rPr>
        <w:t xml:space="preserve"> </w:t>
      </w:r>
      <w:r>
        <w:rPr>
          <w:rFonts w:ascii="Arial"/>
          <w:b/>
        </w:rPr>
        <w:t>document) of its</w:t>
      </w:r>
      <w:r>
        <w:rPr>
          <w:rFonts w:ascii="Arial"/>
          <w:b/>
          <w:spacing w:val="-1"/>
        </w:rPr>
        <w:t xml:space="preserve"> </w:t>
      </w:r>
      <w:r>
        <w:rPr>
          <w:rFonts w:ascii="Arial"/>
          <w:b/>
        </w:rPr>
        <w:t xml:space="preserve">state registration (recent state re-registration)] </w:t>
      </w:r>
      <w:r>
        <w:t>(hereinafter referred</w:t>
      </w:r>
      <w:r>
        <w:rPr>
          <w:spacing w:val="-1"/>
        </w:rPr>
        <w:t xml:space="preserve"> </w:t>
      </w:r>
      <w:r>
        <w:t xml:space="preserve">to as the Clearing Participant) the sign of voluntary provider in relation to the client trading </w:t>
      </w:r>
      <w:r>
        <w:t>and clearing accounts from the list below for conclusion with their use of positions transfer transactions subject to the internal document of the KASE Clearing Center "Rules for clearing activities under transactions with financial instruments" when the K</w:t>
      </w:r>
      <w:r>
        <w:t>ASE Clearing Center performs the functions of the central counterparty on the stock market - repo transactions</w:t>
      </w:r>
      <w:r>
        <w:rPr>
          <w:spacing w:val="-4"/>
        </w:rPr>
        <w:t xml:space="preserve"> </w:t>
      </w:r>
      <w:r>
        <w:t>for a period of 1 day with</w:t>
      </w:r>
      <w:r>
        <w:rPr>
          <w:spacing w:val="-1"/>
        </w:rPr>
        <w:t xml:space="preserve"> </w:t>
      </w:r>
      <w:r>
        <w:t>the Sell / Buy direction at the default settlement rate SD, established subject to the internal documents</w:t>
      </w:r>
      <w:r>
        <w:rPr>
          <w:spacing w:val="-1"/>
        </w:rPr>
        <w:t xml:space="preserve"> </w:t>
      </w:r>
      <w:r>
        <w:t xml:space="preserve">of the KASE </w:t>
      </w:r>
      <w:r>
        <w:t>Clearing Center "Methodology for determining risk parameters of financial instruments".</w:t>
      </w:r>
    </w:p>
    <w:p w14:paraId="0EC864EB" w14:textId="77777777" w:rsidR="006523D5" w:rsidRDefault="00237FC3">
      <w:pPr>
        <w:pStyle w:val="a3"/>
        <w:spacing w:before="57"/>
        <w:ind w:left="165"/>
        <w:jc w:val="both"/>
      </w:pPr>
      <w:r>
        <w:t>We</w:t>
      </w:r>
      <w:r>
        <w:rPr>
          <w:spacing w:val="-7"/>
        </w:rPr>
        <w:t xml:space="preserve"> </w:t>
      </w:r>
      <w:r>
        <w:t xml:space="preserve">hereby </w:t>
      </w:r>
      <w:r>
        <w:rPr>
          <w:spacing w:val="-2"/>
        </w:rPr>
        <w:t>declare:</w:t>
      </w:r>
    </w:p>
    <w:p w14:paraId="38D44870" w14:textId="77777777" w:rsidR="006523D5" w:rsidRDefault="00237FC3">
      <w:pPr>
        <w:pStyle w:val="a5"/>
        <w:numPr>
          <w:ilvl w:val="0"/>
          <w:numId w:val="1"/>
        </w:numPr>
        <w:tabs>
          <w:tab w:val="left" w:pos="595"/>
          <w:tab w:val="left" w:pos="597"/>
        </w:tabs>
        <w:rPr>
          <w:sz w:val="19"/>
        </w:rPr>
      </w:pPr>
      <w:r>
        <w:rPr>
          <w:sz w:val="20"/>
        </w:rPr>
        <w:t xml:space="preserve">acquaintance with the terms and conditions for conclusion of transfer transactions in order to settle defaults of mala fide clearing participants on </w:t>
      </w:r>
      <w:r>
        <w:rPr>
          <w:sz w:val="20"/>
        </w:rPr>
        <w:t xml:space="preserve">the </w:t>
      </w:r>
      <w:r>
        <w:rPr>
          <w:sz w:val="19"/>
        </w:rPr>
        <w:t>stock market carried out by the Clearing Center subject to the internal documents of the Clearing Center “Rules for clearing activities under transactions with financial instruments”, “Methodology for determining risk parameters of financial instrument</w:t>
      </w:r>
      <w:r>
        <w:rPr>
          <w:sz w:val="19"/>
        </w:rPr>
        <w:t>s” and other internal documents of the Clearing Center related to its clearing activities and performance of the functions of the central counterparty;</w:t>
      </w:r>
    </w:p>
    <w:p w14:paraId="42EBCBF3" w14:textId="77777777" w:rsidR="006523D5" w:rsidRDefault="00237FC3">
      <w:pPr>
        <w:pStyle w:val="a5"/>
        <w:numPr>
          <w:ilvl w:val="0"/>
          <w:numId w:val="1"/>
        </w:numPr>
        <w:tabs>
          <w:tab w:val="left" w:pos="595"/>
          <w:tab w:val="left" w:pos="597"/>
        </w:tabs>
        <w:spacing w:before="123" w:line="237" w:lineRule="auto"/>
        <w:ind w:right="19"/>
        <w:rPr>
          <w:sz w:val="19"/>
        </w:rPr>
      </w:pPr>
      <w:r>
        <w:rPr>
          <w:sz w:val="20"/>
        </w:rPr>
        <w:t>u</w:t>
      </w:r>
      <w:r>
        <w:rPr>
          <w:sz w:val="19"/>
        </w:rPr>
        <w:t>nconditional consent to all the terms and conditions and requirements established by the above- mention</w:t>
      </w:r>
      <w:r>
        <w:rPr>
          <w:sz w:val="19"/>
        </w:rPr>
        <w:t>ed and other internal documents of the Clearing Center related to clearing activities and performance of the functions of the central counterparty;</w:t>
      </w:r>
    </w:p>
    <w:p w14:paraId="6AFC0C41" w14:textId="77777777" w:rsidR="006523D5" w:rsidRDefault="00237FC3">
      <w:pPr>
        <w:pStyle w:val="a5"/>
        <w:numPr>
          <w:ilvl w:val="0"/>
          <w:numId w:val="1"/>
        </w:numPr>
        <w:tabs>
          <w:tab w:val="left" w:pos="595"/>
          <w:tab w:val="left" w:pos="597"/>
        </w:tabs>
        <w:spacing w:before="125"/>
        <w:ind w:right="30"/>
        <w:rPr>
          <w:sz w:val="20"/>
        </w:rPr>
      </w:pPr>
      <w:r>
        <w:rPr>
          <w:sz w:val="19"/>
        </w:rPr>
        <w:t>availability of documented instructions from clients received in relation to the client trading and</w:t>
      </w:r>
      <w:r>
        <w:rPr>
          <w:spacing w:val="40"/>
          <w:sz w:val="19"/>
        </w:rPr>
        <w:t xml:space="preserve"> </w:t>
      </w:r>
      <w:r>
        <w:rPr>
          <w:sz w:val="19"/>
        </w:rPr>
        <w:t>clearing</w:t>
      </w:r>
      <w:r>
        <w:rPr>
          <w:sz w:val="19"/>
        </w:rPr>
        <w:t xml:space="preserve"> accounts </w:t>
      </w:r>
      <w:r>
        <w:rPr>
          <w:sz w:val="20"/>
        </w:rPr>
        <w:t>listed below.</w:t>
      </w:r>
    </w:p>
    <w:p w14:paraId="626F17CA" w14:textId="77777777" w:rsidR="006523D5" w:rsidRDefault="006523D5">
      <w:pPr>
        <w:pStyle w:val="a3"/>
        <w:spacing w:before="190"/>
        <w:rPr>
          <w:sz w:val="19"/>
        </w:rPr>
      </w:pPr>
    </w:p>
    <w:p w14:paraId="5AF09C17" w14:textId="77777777" w:rsidR="006523D5" w:rsidRDefault="00237FC3">
      <w:pPr>
        <w:pStyle w:val="1"/>
        <w:spacing w:line="235" w:lineRule="auto"/>
        <w:ind w:left="165" w:right="17"/>
        <w:jc w:val="both"/>
      </w:pPr>
      <w:r>
        <w:t>List of client trading and clearing accounts for use for conclusion of positions transfer transactions [fill in the table]</w:t>
      </w:r>
    </w:p>
    <w:p w14:paraId="5BA0F3EC" w14:textId="77777777" w:rsidR="006523D5" w:rsidRDefault="006523D5">
      <w:pPr>
        <w:pStyle w:val="a3"/>
        <w:spacing w:before="132"/>
        <w:rPr>
          <w:rFonts w:ascii="Arial"/>
          <w:b/>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
        <w:gridCol w:w="5071"/>
      </w:tblGrid>
      <w:tr w:rsidR="006523D5" w14:paraId="0F714906" w14:textId="77777777">
        <w:trPr>
          <w:trHeight w:val="532"/>
        </w:trPr>
        <w:tc>
          <w:tcPr>
            <w:tcW w:w="745" w:type="dxa"/>
          </w:tcPr>
          <w:p w14:paraId="48BA8F35" w14:textId="77777777" w:rsidR="006523D5" w:rsidRDefault="00237FC3">
            <w:pPr>
              <w:pStyle w:val="TableParagraph"/>
              <w:spacing w:before="157"/>
              <w:ind w:left="110"/>
              <w:rPr>
                <w:b/>
                <w:sz w:val="18"/>
              </w:rPr>
            </w:pPr>
            <w:r>
              <w:rPr>
                <w:b/>
                <w:spacing w:val="-5"/>
                <w:sz w:val="18"/>
              </w:rPr>
              <w:t>No.</w:t>
            </w:r>
          </w:p>
        </w:tc>
        <w:tc>
          <w:tcPr>
            <w:tcW w:w="5071" w:type="dxa"/>
          </w:tcPr>
          <w:p w14:paraId="3814C25D" w14:textId="77777777" w:rsidR="006523D5" w:rsidRDefault="00237FC3">
            <w:pPr>
              <w:pStyle w:val="TableParagraph"/>
              <w:spacing w:before="56"/>
              <w:ind w:left="109" w:right="329"/>
              <w:rPr>
                <w:b/>
                <w:sz w:val="18"/>
              </w:rPr>
            </w:pPr>
            <w:r>
              <w:rPr>
                <w:b/>
                <w:sz w:val="18"/>
              </w:rPr>
              <w:t>Number</w:t>
            </w:r>
            <w:r>
              <w:rPr>
                <w:b/>
                <w:spacing w:val="-4"/>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client</w:t>
            </w:r>
            <w:r>
              <w:rPr>
                <w:b/>
                <w:spacing w:val="-4"/>
                <w:sz w:val="18"/>
              </w:rPr>
              <w:t xml:space="preserve"> </w:t>
            </w:r>
            <w:r>
              <w:rPr>
                <w:b/>
                <w:sz w:val="18"/>
              </w:rPr>
              <w:t>trade</w:t>
            </w:r>
            <w:r>
              <w:rPr>
                <w:b/>
                <w:spacing w:val="-5"/>
                <w:sz w:val="18"/>
              </w:rPr>
              <w:t xml:space="preserve"> </w:t>
            </w:r>
            <w:r>
              <w:rPr>
                <w:b/>
                <w:sz w:val="18"/>
              </w:rPr>
              <w:t>and</w:t>
            </w:r>
            <w:r>
              <w:rPr>
                <w:b/>
                <w:spacing w:val="-6"/>
                <w:sz w:val="18"/>
              </w:rPr>
              <w:t xml:space="preserve"> </w:t>
            </w:r>
            <w:r>
              <w:rPr>
                <w:b/>
                <w:sz w:val="18"/>
              </w:rPr>
              <w:t>clearing</w:t>
            </w:r>
            <w:r>
              <w:rPr>
                <w:b/>
                <w:spacing w:val="-6"/>
                <w:sz w:val="18"/>
              </w:rPr>
              <w:t xml:space="preserve"> </w:t>
            </w:r>
            <w:r>
              <w:rPr>
                <w:b/>
                <w:sz w:val="18"/>
              </w:rPr>
              <w:t>account</w:t>
            </w:r>
            <w:r>
              <w:rPr>
                <w:b/>
                <w:spacing w:val="-4"/>
                <w:sz w:val="18"/>
              </w:rPr>
              <w:t xml:space="preserve"> </w:t>
            </w:r>
            <w:r>
              <w:rPr>
                <w:b/>
                <w:sz w:val="18"/>
              </w:rPr>
              <w:t>of</w:t>
            </w:r>
            <w:r>
              <w:rPr>
                <w:b/>
                <w:spacing w:val="-4"/>
                <w:sz w:val="18"/>
              </w:rPr>
              <w:t xml:space="preserve"> </w:t>
            </w:r>
            <w:r>
              <w:rPr>
                <w:b/>
                <w:sz w:val="18"/>
              </w:rPr>
              <w:t>the clearing participant</w:t>
            </w:r>
          </w:p>
        </w:tc>
      </w:tr>
      <w:tr w:rsidR="006523D5" w14:paraId="4A8F1C53" w14:textId="77777777">
        <w:trPr>
          <w:trHeight w:val="350"/>
        </w:trPr>
        <w:tc>
          <w:tcPr>
            <w:tcW w:w="745" w:type="dxa"/>
          </w:tcPr>
          <w:p w14:paraId="080B197D" w14:textId="77777777" w:rsidR="006523D5" w:rsidRDefault="00237FC3">
            <w:pPr>
              <w:pStyle w:val="TableParagraph"/>
              <w:spacing w:before="57"/>
              <w:ind w:left="110"/>
              <w:rPr>
                <w:rFonts w:ascii="Arial MT"/>
                <w:sz w:val="20"/>
              </w:rPr>
            </w:pPr>
            <w:r>
              <w:rPr>
                <w:rFonts w:ascii="Arial MT"/>
                <w:spacing w:val="-5"/>
                <w:sz w:val="20"/>
              </w:rPr>
              <w:t>1.</w:t>
            </w:r>
          </w:p>
        </w:tc>
        <w:tc>
          <w:tcPr>
            <w:tcW w:w="5071" w:type="dxa"/>
          </w:tcPr>
          <w:p w14:paraId="2CDD8DA1" w14:textId="77777777" w:rsidR="006523D5" w:rsidRDefault="006523D5">
            <w:pPr>
              <w:pStyle w:val="TableParagraph"/>
              <w:rPr>
                <w:rFonts w:ascii="Times New Roman"/>
                <w:sz w:val="20"/>
              </w:rPr>
            </w:pPr>
          </w:p>
        </w:tc>
      </w:tr>
      <w:tr w:rsidR="006523D5" w14:paraId="74CAAE23" w14:textId="77777777">
        <w:trPr>
          <w:trHeight w:val="350"/>
        </w:trPr>
        <w:tc>
          <w:tcPr>
            <w:tcW w:w="745" w:type="dxa"/>
          </w:tcPr>
          <w:p w14:paraId="6F3E76E3" w14:textId="77777777" w:rsidR="006523D5" w:rsidRDefault="00237FC3">
            <w:pPr>
              <w:pStyle w:val="TableParagraph"/>
              <w:spacing w:before="57"/>
              <w:ind w:left="110"/>
              <w:rPr>
                <w:rFonts w:ascii="Arial MT"/>
                <w:sz w:val="20"/>
              </w:rPr>
            </w:pPr>
            <w:r>
              <w:rPr>
                <w:rFonts w:ascii="Arial MT"/>
                <w:spacing w:val="-5"/>
                <w:sz w:val="20"/>
              </w:rPr>
              <w:t>2.</w:t>
            </w:r>
          </w:p>
        </w:tc>
        <w:tc>
          <w:tcPr>
            <w:tcW w:w="5071" w:type="dxa"/>
          </w:tcPr>
          <w:p w14:paraId="4A63E165" w14:textId="77777777" w:rsidR="006523D5" w:rsidRDefault="006523D5">
            <w:pPr>
              <w:pStyle w:val="TableParagraph"/>
              <w:rPr>
                <w:rFonts w:ascii="Times New Roman"/>
                <w:sz w:val="20"/>
              </w:rPr>
            </w:pPr>
          </w:p>
        </w:tc>
      </w:tr>
      <w:tr w:rsidR="006523D5" w14:paraId="54E33C2D" w14:textId="77777777">
        <w:trPr>
          <w:trHeight w:val="350"/>
        </w:trPr>
        <w:tc>
          <w:tcPr>
            <w:tcW w:w="745" w:type="dxa"/>
          </w:tcPr>
          <w:p w14:paraId="1E877BBD" w14:textId="77777777" w:rsidR="006523D5" w:rsidRDefault="00237FC3">
            <w:pPr>
              <w:pStyle w:val="TableParagraph"/>
              <w:spacing w:before="57"/>
              <w:ind w:left="110"/>
              <w:rPr>
                <w:rFonts w:ascii="Arial MT"/>
                <w:sz w:val="20"/>
              </w:rPr>
            </w:pPr>
            <w:r>
              <w:rPr>
                <w:rFonts w:ascii="Arial MT"/>
                <w:spacing w:val="-5"/>
                <w:sz w:val="20"/>
              </w:rPr>
              <w:t>3.</w:t>
            </w:r>
          </w:p>
        </w:tc>
        <w:tc>
          <w:tcPr>
            <w:tcW w:w="5071" w:type="dxa"/>
          </w:tcPr>
          <w:p w14:paraId="4EA2C16C" w14:textId="77777777" w:rsidR="006523D5" w:rsidRDefault="006523D5">
            <w:pPr>
              <w:pStyle w:val="TableParagraph"/>
              <w:rPr>
                <w:rFonts w:ascii="Times New Roman"/>
                <w:sz w:val="20"/>
              </w:rPr>
            </w:pPr>
          </w:p>
        </w:tc>
      </w:tr>
      <w:tr w:rsidR="006523D5" w14:paraId="06F53DCB" w14:textId="77777777">
        <w:trPr>
          <w:trHeight w:val="350"/>
        </w:trPr>
        <w:tc>
          <w:tcPr>
            <w:tcW w:w="745" w:type="dxa"/>
          </w:tcPr>
          <w:p w14:paraId="2C88726D" w14:textId="77777777" w:rsidR="006523D5" w:rsidRDefault="00237FC3">
            <w:pPr>
              <w:pStyle w:val="TableParagraph"/>
              <w:spacing w:before="57"/>
              <w:ind w:left="470"/>
              <w:rPr>
                <w:rFonts w:ascii="Arial MT"/>
                <w:sz w:val="20"/>
              </w:rPr>
            </w:pPr>
            <w:r>
              <w:rPr>
                <w:rFonts w:ascii="Arial MT"/>
                <w:spacing w:val="-5"/>
                <w:sz w:val="20"/>
              </w:rPr>
              <w:t>...</w:t>
            </w:r>
          </w:p>
        </w:tc>
        <w:tc>
          <w:tcPr>
            <w:tcW w:w="5071" w:type="dxa"/>
          </w:tcPr>
          <w:p w14:paraId="099A7E8B" w14:textId="77777777" w:rsidR="006523D5" w:rsidRDefault="006523D5">
            <w:pPr>
              <w:pStyle w:val="TableParagraph"/>
              <w:rPr>
                <w:rFonts w:ascii="Times New Roman"/>
                <w:sz w:val="20"/>
              </w:rPr>
            </w:pPr>
          </w:p>
        </w:tc>
      </w:tr>
    </w:tbl>
    <w:p w14:paraId="09503711" w14:textId="77777777" w:rsidR="006523D5" w:rsidRDefault="006523D5">
      <w:pPr>
        <w:pStyle w:val="a3"/>
        <w:spacing w:before="120"/>
        <w:rPr>
          <w:rFonts w:ascii="Arial"/>
          <w:b/>
        </w:rPr>
      </w:pPr>
    </w:p>
    <w:p w14:paraId="655D41FE" w14:textId="77777777" w:rsidR="006523D5" w:rsidRDefault="00237FC3">
      <w:pPr>
        <w:pStyle w:val="a3"/>
        <w:tabs>
          <w:tab w:val="left" w:pos="4487"/>
          <w:tab w:val="left" w:pos="7642"/>
        </w:tabs>
        <w:ind w:left="165"/>
        <w:jc w:val="both"/>
      </w:pPr>
      <w:r>
        <w:t>[Position</w:t>
      </w:r>
      <w:r>
        <w:rPr>
          <w:spacing w:val="-6"/>
        </w:rPr>
        <w:t xml:space="preserve"> </w:t>
      </w:r>
      <w:r>
        <w:t>of</w:t>
      </w:r>
      <w:r>
        <w:rPr>
          <w:spacing w:val="-4"/>
        </w:rPr>
        <w:t xml:space="preserve"> </w:t>
      </w:r>
      <w:r>
        <w:t>the</w:t>
      </w:r>
      <w:r>
        <w:rPr>
          <w:spacing w:val="-6"/>
        </w:rPr>
        <w:t xml:space="preserve"> </w:t>
      </w:r>
      <w:r>
        <w:t>chief</w:t>
      </w:r>
      <w:r>
        <w:rPr>
          <w:spacing w:val="1"/>
        </w:rPr>
        <w:t xml:space="preserve"> </w:t>
      </w:r>
      <w:r>
        <w:rPr>
          <w:spacing w:val="-2"/>
        </w:rPr>
        <w:t>executive]</w:t>
      </w:r>
      <w:r>
        <w:tab/>
      </w:r>
      <w:r>
        <w:rPr>
          <w:spacing w:val="-2"/>
        </w:rPr>
        <w:t>[signature]</w:t>
      </w:r>
      <w:r>
        <w:tab/>
        <w:t>[surname,</w:t>
      </w:r>
      <w:r>
        <w:rPr>
          <w:spacing w:val="-13"/>
        </w:rPr>
        <w:t xml:space="preserve"> </w:t>
      </w:r>
      <w:r>
        <w:rPr>
          <w:spacing w:val="-2"/>
        </w:rPr>
        <w:t>initials]</w:t>
      </w:r>
    </w:p>
    <w:sectPr w:rsidR="006523D5">
      <w:headerReference w:type="default" r:id="rId7"/>
      <w:footerReference w:type="default" r:id="rId8"/>
      <w:type w:val="continuous"/>
      <w:pgSz w:w="11910" w:h="16840"/>
      <w:pgMar w:top="1440" w:right="1417" w:bottom="1060" w:left="1275" w:header="72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422F" w14:textId="77777777" w:rsidR="00000000" w:rsidRDefault="00237FC3">
      <w:r>
        <w:separator/>
      </w:r>
    </w:p>
  </w:endnote>
  <w:endnote w:type="continuationSeparator" w:id="0">
    <w:p w14:paraId="44C858FA" w14:textId="77777777" w:rsidR="00000000" w:rsidRDefault="0023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3D6D" w14:textId="77777777" w:rsidR="006523D5" w:rsidRDefault="00237FC3">
    <w:pPr>
      <w:pStyle w:val="a3"/>
      <w:spacing w:line="14" w:lineRule="auto"/>
    </w:pPr>
    <w:r>
      <w:rPr>
        <w:noProof/>
      </w:rPr>
      <mc:AlternateContent>
        <mc:Choice Requires="wps">
          <w:drawing>
            <wp:anchor distT="0" distB="0" distL="0" distR="0" simplePos="0" relativeHeight="487540736" behindDoc="1" locked="0" layoutInCell="1" allowOverlap="1" wp14:anchorId="0AEE59E8" wp14:editId="74FBCE07">
              <wp:simplePos x="0" y="0"/>
              <wp:positionH relativeFrom="page">
                <wp:posOffset>3698240</wp:posOffset>
              </wp:positionH>
              <wp:positionV relativeFrom="page">
                <wp:posOffset>9999609</wp:posOffset>
              </wp:positionV>
              <wp:extent cx="16573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8910"/>
                      </a:xfrm>
                      <a:prstGeom prst="rect">
                        <a:avLst/>
                      </a:prstGeom>
                    </wps:spPr>
                    <wps:txbx>
                      <w:txbxContent>
                        <w:p w14:paraId="6B09FEC8" w14:textId="77777777" w:rsidR="006523D5" w:rsidRDefault="00237FC3">
                          <w:pPr>
                            <w:spacing w:before="15"/>
                            <w:ind w:left="20"/>
                            <w:rPr>
                              <w:rFonts w:ascii="Arial"/>
                              <w:b/>
                              <w:sz w:val="20"/>
                            </w:rPr>
                          </w:pPr>
                          <w:r>
                            <w:rPr>
                              <w:rFonts w:ascii="Arial"/>
                              <w:b/>
                              <w:color w:val="7E7E7E"/>
                              <w:spacing w:val="-5"/>
                              <w:sz w:val="20"/>
                            </w:rPr>
                            <w:t>80</w:t>
                          </w:r>
                        </w:p>
                      </w:txbxContent>
                    </wps:txbx>
                    <wps:bodyPr wrap="square" lIns="0" tIns="0" rIns="0" bIns="0" rtlCol="0">
                      <a:noAutofit/>
                    </wps:bodyPr>
                  </wps:wsp>
                </a:graphicData>
              </a:graphic>
            </wp:anchor>
          </w:drawing>
        </mc:Choice>
        <mc:Fallback>
          <w:pict>
            <v:shapetype w14:anchorId="0AEE59E8" id="_x0000_t202" coordsize="21600,21600" o:spt="202" path="m,l,21600r21600,l21600,xe">
              <v:stroke joinstyle="miter"/>
              <v:path gradientshapeok="t" o:connecttype="rect"/>
            </v:shapetype>
            <v:shape id="Textbox 4" o:spid="_x0000_s1027" type="#_x0000_t202" style="position:absolute;margin-left:291.2pt;margin-top:787.35pt;width:13.05pt;height:13.3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" filled="f" stroked="f">
              <v:textbox inset="0,0,0,0">
                <w:txbxContent>
                  <w:p w14:paraId="6B09FEC8" w14:textId="77777777" w:rsidR="006523D5" w:rsidRDefault="00237FC3">
                    <w:pPr>
                      <w:spacing w:before="15"/>
                      <w:ind w:left="20"/>
                      <w:rPr>
                        <w:rFonts w:ascii="Arial"/>
                        <w:b/>
                        <w:sz w:val="20"/>
                      </w:rPr>
                    </w:pPr>
                    <w:r>
                      <w:rPr>
                        <w:rFonts w:ascii="Arial"/>
                        <w:b/>
                        <w:color w:val="7E7E7E"/>
                        <w:spacing w:val="-5"/>
                        <w:sz w:val="20"/>
                      </w:rPr>
                      <w:t>80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9DAA" w14:textId="77777777" w:rsidR="00000000" w:rsidRDefault="00237FC3">
      <w:r>
        <w:separator/>
      </w:r>
    </w:p>
  </w:footnote>
  <w:footnote w:type="continuationSeparator" w:id="0">
    <w:p w14:paraId="15AD8CBC" w14:textId="77777777" w:rsidR="00000000" w:rsidRDefault="0023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ECA0" w14:textId="77777777" w:rsidR="006523D5" w:rsidRDefault="00237FC3">
    <w:pPr>
      <w:pStyle w:val="a3"/>
      <w:spacing w:line="14" w:lineRule="auto"/>
    </w:pPr>
    <w:r>
      <w:rPr>
        <w:noProof/>
      </w:rPr>
      <mc:AlternateContent>
        <mc:Choice Requires="wps">
          <w:drawing>
            <wp:anchor distT="0" distB="0" distL="0" distR="0" simplePos="0" relativeHeight="487539200" behindDoc="1" locked="0" layoutInCell="1" allowOverlap="1" wp14:anchorId="70E34B0F" wp14:editId="5AC3791B">
              <wp:simplePos x="0" y="0"/>
              <wp:positionH relativeFrom="page">
                <wp:posOffset>896416</wp:posOffset>
              </wp:positionH>
              <wp:positionV relativeFrom="page">
                <wp:posOffset>679957</wp:posOffset>
              </wp:positionV>
              <wp:extent cx="5772785"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18415"/>
                      </a:xfrm>
                      <a:custGeom>
                        <a:avLst/>
                        <a:gdLst/>
                        <a:ahLst/>
                        <a:cxnLst/>
                        <a:rect l="l" t="t" r="r" b="b"/>
                        <a:pathLst>
                          <a:path w="5772785" h="18415">
                            <a:moveTo>
                              <a:pt x="5772277" y="0"/>
                            </a:moveTo>
                            <a:lnTo>
                              <a:pt x="0" y="0"/>
                            </a:lnTo>
                            <a:lnTo>
                              <a:pt x="0" y="18288"/>
                            </a:lnTo>
                            <a:lnTo>
                              <a:pt x="5772277" y="18288"/>
                            </a:lnTo>
                            <a:lnTo>
                              <a:pt x="57722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81308EC" id="Graphic 1" o:spid="_x0000_s1026" style="position:absolute;margin-left:70.6pt;margin-top:53.55pt;width:454.55pt;height:1.45pt;z-index:-15777280;visibility:visible;mso-wrap-style:square;mso-wrap-distance-left:0;mso-wrap-distance-top:0;mso-wrap-distance-right:0;mso-wrap-distance-bottom:0;mso-position-horizontal:absolute;mso-position-horizontal-relative:page;mso-position-vertical:absolute;mso-position-vertical-relative:page;v-text-anchor:top" coordsize="5772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" path="m5772277,l,,,18288r5772277,l5772277,xe" fillcolor="gray" stroked="f">
              <v:path arrowok="t"/>
              <w10:wrap anchorx="page" anchory="page"/>
            </v:shape>
          </w:pict>
        </mc:Fallback>
      </mc:AlternateContent>
    </w:r>
    <w:r>
      <w:rPr>
        <w:noProof/>
      </w:rPr>
      <mc:AlternateContent>
        <mc:Choice Requires="wps">
          <w:drawing>
            <wp:anchor distT="0" distB="0" distL="0" distR="0" simplePos="0" relativeHeight="487539712" behindDoc="1" locked="0" layoutInCell="1" allowOverlap="1" wp14:anchorId="1809E7FD" wp14:editId="4F158CF5">
              <wp:simplePos x="0" y="0"/>
              <wp:positionH relativeFrom="page">
                <wp:posOffset>896416</wp:posOffset>
              </wp:positionH>
              <wp:positionV relativeFrom="page">
                <wp:posOffset>716533</wp:posOffset>
              </wp:positionV>
              <wp:extent cx="577278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18415"/>
                      </a:xfrm>
                      <a:custGeom>
                        <a:avLst/>
                        <a:gdLst/>
                        <a:ahLst/>
                        <a:cxnLst/>
                        <a:rect l="l" t="t" r="r" b="b"/>
                        <a:pathLst>
                          <a:path w="5772785" h="18415">
                            <a:moveTo>
                              <a:pt x="5772277" y="0"/>
                            </a:moveTo>
                            <a:lnTo>
                              <a:pt x="0" y="0"/>
                            </a:lnTo>
                            <a:lnTo>
                              <a:pt x="0" y="18288"/>
                            </a:lnTo>
                            <a:lnTo>
                              <a:pt x="5772277" y="18288"/>
                            </a:lnTo>
                            <a:lnTo>
                              <a:pt x="57722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3B454DC" id="Graphic 2" o:spid="_x0000_s1026" style="position:absolute;margin-left:70.6pt;margin-top:56.4pt;width:454.55pt;height:1.45pt;z-index:-15776768;visibility:visible;mso-wrap-style:square;mso-wrap-distance-left:0;mso-wrap-distance-top:0;mso-wrap-distance-right:0;mso-wrap-distance-bottom:0;mso-position-horizontal:absolute;mso-position-horizontal-relative:page;mso-position-vertical:absolute;mso-position-vertical-relative:page;v-text-anchor:top" coordsize="5772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" path="m5772277,l,,,18288r5772277,l5772277,xe" fillcolor="gray" stroked="f">
              <v:path arrowok="t"/>
              <w10:wrap anchorx="page" anchory="page"/>
            </v:shape>
          </w:pict>
        </mc:Fallback>
      </mc:AlternateContent>
    </w:r>
    <w:r>
      <w:rPr>
        <w:noProof/>
      </w:rPr>
      <mc:AlternateContent>
        <mc:Choice Requires="wps">
          <w:drawing>
            <wp:anchor distT="0" distB="0" distL="0" distR="0" simplePos="0" relativeHeight="487540224" behindDoc="1" locked="0" layoutInCell="1" allowOverlap="1" wp14:anchorId="08CD67C0" wp14:editId="4B11F4EF">
              <wp:simplePos x="0" y="0"/>
              <wp:positionH relativeFrom="page">
                <wp:posOffset>1502791</wp:posOffset>
              </wp:positionH>
              <wp:positionV relativeFrom="page">
                <wp:posOffset>449549</wp:posOffset>
              </wp:positionV>
              <wp:extent cx="4549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67640"/>
                      </a:xfrm>
                      <a:prstGeom prst="rect">
                        <a:avLst/>
                      </a:prstGeom>
                    </wps:spPr>
                    <wps:txbx>
                      <w:txbxContent>
                        <w:p w14:paraId="7B1BDDF2" w14:textId="77777777" w:rsidR="006523D5" w:rsidRDefault="00237FC3">
                          <w:pPr>
                            <w:spacing w:before="13"/>
                            <w:ind w:left="20"/>
                            <w:rPr>
                              <w:rFonts w:ascii="Times New Roman"/>
                              <w:b/>
                              <w:sz w:val="20"/>
                            </w:rPr>
                          </w:pPr>
                          <w:r>
                            <w:rPr>
                              <w:rFonts w:ascii="Times New Roman"/>
                              <w:b/>
                              <w:color w:val="808080"/>
                              <w:sz w:val="20"/>
                            </w:rPr>
                            <w:t>Rules</w:t>
                          </w:r>
                          <w:r>
                            <w:rPr>
                              <w:rFonts w:ascii="Times New Roman"/>
                              <w:b/>
                              <w:color w:val="808080"/>
                              <w:spacing w:val="-7"/>
                              <w:sz w:val="20"/>
                            </w:rPr>
                            <w:t xml:space="preserve"> </w:t>
                          </w:r>
                          <w:r>
                            <w:rPr>
                              <w:rFonts w:ascii="Times New Roman"/>
                              <w:b/>
                              <w:color w:val="808080"/>
                              <w:sz w:val="20"/>
                            </w:rPr>
                            <w:t>of</w:t>
                          </w:r>
                          <w:r>
                            <w:rPr>
                              <w:rFonts w:ascii="Times New Roman"/>
                              <w:b/>
                              <w:color w:val="808080"/>
                              <w:spacing w:val="-6"/>
                              <w:sz w:val="20"/>
                            </w:rPr>
                            <w:t xml:space="preserve"> </w:t>
                          </w:r>
                          <w:r>
                            <w:rPr>
                              <w:rFonts w:ascii="Times New Roman"/>
                              <w:b/>
                              <w:color w:val="808080"/>
                              <w:sz w:val="20"/>
                            </w:rPr>
                            <w:t>conduct</w:t>
                          </w:r>
                          <w:r>
                            <w:rPr>
                              <w:rFonts w:ascii="Times New Roman"/>
                              <w:b/>
                              <w:color w:val="808080"/>
                              <w:spacing w:val="-5"/>
                              <w:sz w:val="20"/>
                            </w:rPr>
                            <w:t xml:space="preserve"> </w:t>
                          </w:r>
                          <w:r>
                            <w:rPr>
                              <w:rFonts w:ascii="Times New Roman"/>
                              <w:b/>
                              <w:color w:val="808080"/>
                              <w:sz w:val="20"/>
                            </w:rPr>
                            <w:t>of</w:t>
                          </w:r>
                          <w:r>
                            <w:rPr>
                              <w:rFonts w:ascii="Times New Roman"/>
                              <w:b/>
                              <w:color w:val="808080"/>
                              <w:spacing w:val="-6"/>
                              <w:sz w:val="20"/>
                            </w:rPr>
                            <w:t xml:space="preserve"> </w:t>
                          </w:r>
                          <w:r>
                            <w:rPr>
                              <w:rFonts w:ascii="Times New Roman"/>
                              <w:b/>
                              <w:color w:val="808080"/>
                              <w:sz w:val="20"/>
                            </w:rPr>
                            <w:t>clearing</w:t>
                          </w:r>
                          <w:r>
                            <w:rPr>
                              <w:rFonts w:ascii="Times New Roman"/>
                              <w:b/>
                              <w:color w:val="808080"/>
                              <w:spacing w:val="-10"/>
                              <w:sz w:val="20"/>
                            </w:rPr>
                            <w:t xml:space="preserve"> </w:t>
                          </w:r>
                          <w:r>
                            <w:rPr>
                              <w:rFonts w:ascii="Times New Roman"/>
                              <w:b/>
                              <w:color w:val="808080"/>
                              <w:sz w:val="20"/>
                            </w:rPr>
                            <w:t>activities</w:t>
                          </w:r>
                          <w:r>
                            <w:rPr>
                              <w:rFonts w:ascii="Times New Roman"/>
                              <w:b/>
                              <w:color w:val="808080"/>
                              <w:spacing w:val="-11"/>
                              <w:sz w:val="20"/>
                            </w:rPr>
                            <w:t xml:space="preserve"> </w:t>
                          </w:r>
                          <w:r>
                            <w:rPr>
                              <w:rFonts w:ascii="Times New Roman"/>
                              <w:b/>
                              <w:color w:val="808080"/>
                              <w:sz w:val="20"/>
                            </w:rPr>
                            <w:t>under</w:t>
                          </w:r>
                          <w:r>
                            <w:rPr>
                              <w:rFonts w:ascii="Times New Roman"/>
                              <w:b/>
                              <w:color w:val="808080"/>
                              <w:spacing w:val="-4"/>
                              <w:sz w:val="20"/>
                            </w:rPr>
                            <w:t xml:space="preserve"> </w:t>
                          </w:r>
                          <w:r>
                            <w:rPr>
                              <w:rFonts w:ascii="Times New Roman"/>
                              <w:b/>
                              <w:color w:val="808080"/>
                              <w:sz w:val="20"/>
                            </w:rPr>
                            <w:t>transactions</w:t>
                          </w:r>
                          <w:r>
                            <w:rPr>
                              <w:rFonts w:ascii="Times New Roman"/>
                              <w:b/>
                              <w:color w:val="808080"/>
                              <w:spacing w:val="-11"/>
                              <w:sz w:val="20"/>
                            </w:rPr>
                            <w:t xml:space="preserve"> </w:t>
                          </w:r>
                          <w:r>
                            <w:rPr>
                              <w:rFonts w:ascii="Times New Roman"/>
                              <w:b/>
                              <w:color w:val="808080"/>
                              <w:sz w:val="20"/>
                            </w:rPr>
                            <w:t>with</w:t>
                          </w:r>
                          <w:r>
                            <w:rPr>
                              <w:rFonts w:ascii="Times New Roman"/>
                              <w:b/>
                              <w:color w:val="808080"/>
                              <w:spacing w:val="-6"/>
                              <w:sz w:val="20"/>
                            </w:rPr>
                            <w:t xml:space="preserve"> </w:t>
                          </w:r>
                          <w:r>
                            <w:rPr>
                              <w:rFonts w:ascii="Times New Roman"/>
                              <w:b/>
                              <w:color w:val="808080"/>
                              <w:sz w:val="20"/>
                            </w:rPr>
                            <w:t>financial</w:t>
                          </w:r>
                          <w:r>
                            <w:rPr>
                              <w:rFonts w:ascii="Times New Roman"/>
                              <w:b/>
                              <w:color w:val="808080"/>
                              <w:spacing w:val="-8"/>
                              <w:sz w:val="20"/>
                            </w:rPr>
                            <w:t xml:space="preserve"> </w:t>
                          </w:r>
                          <w:r>
                            <w:rPr>
                              <w:rFonts w:ascii="Times New Roman"/>
                              <w:b/>
                              <w:color w:val="808080"/>
                              <w:spacing w:val="-2"/>
                              <w:sz w:val="20"/>
                            </w:rPr>
                            <w:t>instruments</w:t>
                          </w:r>
                        </w:p>
                      </w:txbxContent>
                    </wps:txbx>
                    <wps:bodyPr wrap="square" lIns="0" tIns="0" rIns="0" bIns="0" rtlCol="0">
                      <a:noAutofit/>
                    </wps:bodyPr>
                  </wps:wsp>
                </a:graphicData>
              </a:graphic>
            </wp:anchor>
          </w:drawing>
        </mc:Choice>
        <mc:Fallback>
          <w:pict>
            <v:shapetype w14:anchorId="08CD67C0" id="_x0000_t202" coordsize="21600,21600" o:spt="202" path="m,l,21600r21600,l21600,xe">
              <v:stroke joinstyle="miter"/>
              <v:path gradientshapeok="t" o:connecttype="rect"/>
            </v:shapetype>
            <v:shape id="Textbox 3" o:spid="_x0000_s1026" type="#_x0000_t202" style="position:absolute;margin-left:118.35pt;margin-top:35.4pt;width:358.2pt;height:13.2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" filled="f" stroked="f">
              <v:textbox inset="0,0,0,0">
                <w:txbxContent>
                  <w:p w14:paraId="7B1BDDF2" w14:textId="77777777" w:rsidR="006523D5" w:rsidRDefault="00237FC3">
                    <w:pPr>
                      <w:spacing w:before="13"/>
                      <w:ind w:left="20"/>
                      <w:rPr>
                        <w:rFonts w:ascii="Times New Roman"/>
                        <w:b/>
                        <w:sz w:val="20"/>
                      </w:rPr>
                    </w:pPr>
                    <w:r>
                      <w:rPr>
                        <w:rFonts w:ascii="Times New Roman"/>
                        <w:b/>
                        <w:color w:val="808080"/>
                        <w:sz w:val="20"/>
                      </w:rPr>
                      <w:t>Rules</w:t>
                    </w:r>
                    <w:r>
                      <w:rPr>
                        <w:rFonts w:ascii="Times New Roman"/>
                        <w:b/>
                        <w:color w:val="808080"/>
                        <w:spacing w:val="-7"/>
                        <w:sz w:val="20"/>
                      </w:rPr>
                      <w:t xml:space="preserve"> </w:t>
                    </w:r>
                    <w:r>
                      <w:rPr>
                        <w:rFonts w:ascii="Times New Roman"/>
                        <w:b/>
                        <w:color w:val="808080"/>
                        <w:sz w:val="20"/>
                      </w:rPr>
                      <w:t>of</w:t>
                    </w:r>
                    <w:r>
                      <w:rPr>
                        <w:rFonts w:ascii="Times New Roman"/>
                        <w:b/>
                        <w:color w:val="808080"/>
                        <w:spacing w:val="-6"/>
                        <w:sz w:val="20"/>
                      </w:rPr>
                      <w:t xml:space="preserve"> </w:t>
                    </w:r>
                    <w:r>
                      <w:rPr>
                        <w:rFonts w:ascii="Times New Roman"/>
                        <w:b/>
                        <w:color w:val="808080"/>
                        <w:sz w:val="20"/>
                      </w:rPr>
                      <w:t>conduct</w:t>
                    </w:r>
                    <w:r>
                      <w:rPr>
                        <w:rFonts w:ascii="Times New Roman"/>
                        <w:b/>
                        <w:color w:val="808080"/>
                        <w:spacing w:val="-5"/>
                        <w:sz w:val="20"/>
                      </w:rPr>
                      <w:t xml:space="preserve"> </w:t>
                    </w:r>
                    <w:r>
                      <w:rPr>
                        <w:rFonts w:ascii="Times New Roman"/>
                        <w:b/>
                        <w:color w:val="808080"/>
                        <w:sz w:val="20"/>
                      </w:rPr>
                      <w:t>of</w:t>
                    </w:r>
                    <w:r>
                      <w:rPr>
                        <w:rFonts w:ascii="Times New Roman"/>
                        <w:b/>
                        <w:color w:val="808080"/>
                        <w:spacing w:val="-6"/>
                        <w:sz w:val="20"/>
                      </w:rPr>
                      <w:t xml:space="preserve"> </w:t>
                    </w:r>
                    <w:r>
                      <w:rPr>
                        <w:rFonts w:ascii="Times New Roman"/>
                        <w:b/>
                        <w:color w:val="808080"/>
                        <w:sz w:val="20"/>
                      </w:rPr>
                      <w:t>clearing</w:t>
                    </w:r>
                    <w:r>
                      <w:rPr>
                        <w:rFonts w:ascii="Times New Roman"/>
                        <w:b/>
                        <w:color w:val="808080"/>
                        <w:spacing w:val="-10"/>
                        <w:sz w:val="20"/>
                      </w:rPr>
                      <w:t xml:space="preserve"> </w:t>
                    </w:r>
                    <w:r>
                      <w:rPr>
                        <w:rFonts w:ascii="Times New Roman"/>
                        <w:b/>
                        <w:color w:val="808080"/>
                        <w:sz w:val="20"/>
                      </w:rPr>
                      <w:t>activities</w:t>
                    </w:r>
                    <w:r>
                      <w:rPr>
                        <w:rFonts w:ascii="Times New Roman"/>
                        <w:b/>
                        <w:color w:val="808080"/>
                        <w:spacing w:val="-11"/>
                        <w:sz w:val="20"/>
                      </w:rPr>
                      <w:t xml:space="preserve"> </w:t>
                    </w:r>
                    <w:r>
                      <w:rPr>
                        <w:rFonts w:ascii="Times New Roman"/>
                        <w:b/>
                        <w:color w:val="808080"/>
                        <w:sz w:val="20"/>
                      </w:rPr>
                      <w:t>under</w:t>
                    </w:r>
                    <w:r>
                      <w:rPr>
                        <w:rFonts w:ascii="Times New Roman"/>
                        <w:b/>
                        <w:color w:val="808080"/>
                        <w:spacing w:val="-4"/>
                        <w:sz w:val="20"/>
                      </w:rPr>
                      <w:t xml:space="preserve"> </w:t>
                    </w:r>
                    <w:r>
                      <w:rPr>
                        <w:rFonts w:ascii="Times New Roman"/>
                        <w:b/>
                        <w:color w:val="808080"/>
                        <w:sz w:val="20"/>
                      </w:rPr>
                      <w:t>transactions</w:t>
                    </w:r>
                    <w:r>
                      <w:rPr>
                        <w:rFonts w:ascii="Times New Roman"/>
                        <w:b/>
                        <w:color w:val="808080"/>
                        <w:spacing w:val="-11"/>
                        <w:sz w:val="20"/>
                      </w:rPr>
                      <w:t xml:space="preserve"> </w:t>
                    </w:r>
                    <w:r>
                      <w:rPr>
                        <w:rFonts w:ascii="Times New Roman"/>
                        <w:b/>
                        <w:color w:val="808080"/>
                        <w:sz w:val="20"/>
                      </w:rPr>
                      <w:t>with</w:t>
                    </w:r>
                    <w:r>
                      <w:rPr>
                        <w:rFonts w:ascii="Times New Roman"/>
                        <w:b/>
                        <w:color w:val="808080"/>
                        <w:spacing w:val="-6"/>
                        <w:sz w:val="20"/>
                      </w:rPr>
                      <w:t xml:space="preserve"> </w:t>
                    </w:r>
                    <w:r>
                      <w:rPr>
                        <w:rFonts w:ascii="Times New Roman"/>
                        <w:b/>
                        <w:color w:val="808080"/>
                        <w:sz w:val="20"/>
                      </w:rPr>
                      <w:t>financial</w:t>
                    </w:r>
                    <w:r>
                      <w:rPr>
                        <w:rFonts w:ascii="Times New Roman"/>
                        <w:b/>
                        <w:color w:val="808080"/>
                        <w:spacing w:val="-8"/>
                        <w:sz w:val="20"/>
                      </w:rPr>
                      <w:t xml:space="preserve"> </w:t>
                    </w:r>
                    <w:r>
                      <w:rPr>
                        <w:rFonts w:ascii="Times New Roman"/>
                        <w:b/>
                        <w:color w:val="808080"/>
                        <w:spacing w:val="-2"/>
                        <w:sz w:val="20"/>
                      </w:rPr>
                      <w:t>instruments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A08"/>
    <w:multiLevelType w:val="hybridMultilevel"/>
    <w:tmpl w:val="4948BDE2"/>
    <w:lvl w:ilvl="0" w:tplc="01A204DE">
      <w:numFmt w:val="bullet"/>
      <w:lvlText w:val="–"/>
      <w:lvlJc w:val="left"/>
      <w:pPr>
        <w:ind w:left="597" w:hanging="433"/>
      </w:pPr>
      <w:rPr>
        <w:rFonts w:ascii="Arial MT" w:eastAsia="Arial MT" w:hAnsi="Arial MT" w:cs="Arial MT" w:hint="default"/>
        <w:b w:val="0"/>
        <w:bCs w:val="0"/>
        <w:i w:val="0"/>
        <w:iCs w:val="0"/>
        <w:spacing w:val="0"/>
        <w:w w:val="100"/>
        <w:sz w:val="20"/>
        <w:szCs w:val="20"/>
        <w:lang w:val="en-US" w:eastAsia="en-US" w:bidi="ar-SA"/>
      </w:rPr>
    </w:lvl>
    <w:lvl w:ilvl="1" w:tplc="2A8CA2F0">
      <w:numFmt w:val="bullet"/>
      <w:lvlText w:val="•"/>
      <w:lvlJc w:val="left"/>
      <w:pPr>
        <w:ind w:left="1461" w:hanging="433"/>
      </w:pPr>
      <w:rPr>
        <w:rFonts w:hint="default"/>
        <w:lang w:val="en-US" w:eastAsia="en-US" w:bidi="ar-SA"/>
      </w:rPr>
    </w:lvl>
    <w:lvl w:ilvl="2" w:tplc="3BDE01F4">
      <w:numFmt w:val="bullet"/>
      <w:lvlText w:val="•"/>
      <w:lvlJc w:val="left"/>
      <w:pPr>
        <w:ind w:left="2323" w:hanging="433"/>
      </w:pPr>
      <w:rPr>
        <w:rFonts w:hint="default"/>
        <w:lang w:val="en-US" w:eastAsia="en-US" w:bidi="ar-SA"/>
      </w:rPr>
    </w:lvl>
    <w:lvl w:ilvl="3" w:tplc="31BECBDC">
      <w:numFmt w:val="bullet"/>
      <w:lvlText w:val="•"/>
      <w:lvlJc w:val="left"/>
      <w:pPr>
        <w:ind w:left="3185" w:hanging="433"/>
      </w:pPr>
      <w:rPr>
        <w:rFonts w:hint="default"/>
        <w:lang w:val="en-US" w:eastAsia="en-US" w:bidi="ar-SA"/>
      </w:rPr>
    </w:lvl>
    <w:lvl w:ilvl="4" w:tplc="2D20743C">
      <w:numFmt w:val="bullet"/>
      <w:lvlText w:val="•"/>
      <w:lvlJc w:val="left"/>
      <w:pPr>
        <w:ind w:left="4046" w:hanging="433"/>
      </w:pPr>
      <w:rPr>
        <w:rFonts w:hint="default"/>
        <w:lang w:val="en-US" w:eastAsia="en-US" w:bidi="ar-SA"/>
      </w:rPr>
    </w:lvl>
    <w:lvl w:ilvl="5" w:tplc="BC660C8A">
      <w:numFmt w:val="bullet"/>
      <w:lvlText w:val="•"/>
      <w:lvlJc w:val="left"/>
      <w:pPr>
        <w:ind w:left="4908" w:hanging="433"/>
      </w:pPr>
      <w:rPr>
        <w:rFonts w:hint="default"/>
        <w:lang w:val="en-US" w:eastAsia="en-US" w:bidi="ar-SA"/>
      </w:rPr>
    </w:lvl>
    <w:lvl w:ilvl="6" w:tplc="8836F050">
      <w:numFmt w:val="bullet"/>
      <w:lvlText w:val="•"/>
      <w:lvlJc w:val="left"/>
      <w:pPr>
        <w:ind w:left="5770" w:hanging="433"/>
      </w:pPr>
      <w:rPr>
        <w:rFonts w:hint="default"/>
        <w:lang w:val="en-US" w:eastAsia="en-US" w:bidi="ar-SA"/>
      </w:rPr>
    </w:lvl>
    <w:lvl w:ilvl="7" w:tplc="D262A462">
      <w:numFmt w:val="bullet"/>
      <w:lvlText w:val="•"/>
      <w:lvlJc w:val="left"/>
      <w:pPr>
        <w:ind w:left="6631" w:hanging="433"/>
      </w:pPr>
      <w:rPr>
        <w:rFonts w:hint="default"/>
        <w:lang w:val="en-US" w:eastAsia="en-US" w:bidi="ar-SA"/>
      </w:rPr>
    </w:lvl>
    <w:lvl w:ilvl="8" w:tplc="D736F070">
      <w:numFmt w:val="bullet"/>
      <w:lvlText w:val="•"/>
      <w:lvlJc w:val="left"/>
      <w:pPr>
        <w:ind w:left="7493" w:hanging="4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D5"/>
    <w:rsid w:val="00237FC3"/>
    <w:rsid w:val="00652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0740"/>
  <w15:docId w15:val="{2846688E-B373-42E7-8D0D-592490F9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1">
    <w:name w:val="heading 1"/>
    <w:basedOn w:val="a"/>
    <w:uiPriority w:val="9"/>
    <w:qFormat/>
    <w:pPr>
      <w:ind w:left="20"/>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left="148" w:right="68"/>
      <w:jc w:val="center"/>
    </w:pPr>
    <w:rPr>
      <w:rFonts w:ascii="Times New Roman" w:eastAsia="Times New Roman" w:hAnsi="Times New Roman" w:cs="Times New Roman"/>
      <w:b/>
      <w:bCs/>
      <w:sz w:val="28"/>
      <w:szCs w:val="28"/>
    </w:rPr>
  </w:style>
  <w:style w:type="paragraph" w:styleId="a5">
    <w:name w:val="List Paragraph"/>
    <w:basedOn w:val="a"/>
    <w:uiPriority w:val="1"/>
    <w:qFormat/>
    <w:pPr>
      <w:spacing w:before="63"/>
      <w:ind w:left="597" w:right="13" w:hanging="433"/>
      <w:jc w:val="both"/>
    </w:pPr>
  </w:style>
  <w:style w:type="paragraph" w:customStyle="1" w:styleId="TableParagraph">
    <w:name w:val="Table Paragraph"/>
    <w:basedOn w:val="a"/>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Жақман Ұлпан Қайратбекқызы</dc:creator>
  <cp:lastModifiedBy>Жақман Ұлпан Қайратбекқызы</cp:lastModifiedBy>
  <cp:revision>2</cp:revision>
  <dcterms:created xsi:type="dcterms:W3CDTF">2025-07-24T12:16:00Z</dcterms:created>
  <dcterms:modified xsi:type="dcterms:W3CDTF">2025-07-24T12:16:00Z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roducer">
    <vt:lpwstr>iLovePDF</vt:lpwstr>
  </property>
</Properties>
</file>