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AD59" w14:textId="77777777" w:rsidR="007D74AE" w:rsidRDefault="008927E9">
      <w:pPr>
        <w:spacing w:before="85"/>
        <w:ind w:left="6450"/>
        <w:rPr>
          <w:rFonts w:ascii="Arial"/>
          <w:b/>
          <w:sz w:val="20"/>
        </w:rPr>
      </w:pPr>
      <w:bookmarkStart w:id="0" w:name="Appendix_5"/>
      <w:bookmarkEnd w:id="0"/>
      <w:r>
        <w:rPr>
          <w:rFonts w:ascii="Arial"/>
          <w:b/>
          <w:sz w:val="20"/>
        </w:rPr>
        <w:t>Appendix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5</w:t>
      </w:r>
    </w:p>
    <w:p w14:paraId="3DEB1071" w14:textId="77777777" w:rsidR="007D74AE" w:rsidRDefault="008927E9">
      <w:pPr>
        <w:pStyle w:val="a3"/>
        <w:spacing w:before="120"/>
        <w:ind w:left="6450" w:right="234"/>
      </w:pPr>
      <w:r>
        <w:t>to the Rules for the acceptance, accounting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 of collateral 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settlement</w:t>
      </w:r>
      <w:r>
        <w:rPr>
          <w:spacing w:val="-14"/>
        </w:rPr>
        <w:t xml:space="preserve"> </w:t>
      </w:r>
      <w:r>
        <w:t>finality</w:t>
      </w:r>
      <w:r>
        <w:rPr>
          <w:spacing w:val="-8"/>
        </w:rPr>
        <w:t xml:space="preserve"> </w:t>
      </w:r>
      <w:r>
        <w:t xml:space="preserve">system of the interbank payment card </w:t>
      </w:r>
      <w:r>
        <w:rPr>
          <w:spacing w:val="-2"/>
        </w:rPr>
        <w:t>system</w:t>
      </w:r>
    </w:p>
    <w:p w14:paraId="7DE2821C" w14:textId="77777777" w:rsidR="007D74AE" w:rsidRDefault="008927E9">
      <w:pPr>
        <w:spacing w:before="118"/>
        <w:ind w:left="6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[on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company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letterhead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indicating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outgoing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number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application]</w:t>
      </w:r>
    </w:p>
    <w:p w14:paraId="75A65BD0" w14:textId="77777777" w:rsidR="007D74AE" w:rsidRDefault="007D74AE">
      <w:pPr>
        <w:pStyle w:val="a3"/>
        <w:spacing w:before="221"/>
        <w:rPr>
          <w:rFonts w:ascii="Arial"/>
          <w:i/>
        </w:rPr>
      </w:pPr>
    </w:p>
    <w:p w14:paraId="0A1D2D48" w14:textId="77777777" w:rsidR="007D74AE" w:rsidRDefault="008927E9">
      <w:pPr>
        <w:ind w:left="7478"/>
        <w:rPr>
          <w:sz w:val="19"/>
        </w:rPr>
      </w:pPr>
      <w:r>
        <w:rPr>
          <w:sz w:val="19"/>
        </w:rPr>
        <w:t>KASE</w:t>
      </w:r>
      <w:r>
        <w:rPr>
          <w:spacing w:val="-7"/>
          <w:sz w:val="19"/>
        </w:rPr>
        <w:t xml:space="preserve"> </w:t>
      </w:r>
      <w:r>
        <w:rPr>
          <w:sz w:val="19"/>
        </w:rPr>
        <w:t>Clearing</w:t>
      </w:r>
      <w:r>
        <w:rPr>
          <w:spacing w:val="-5"/>
          <w:sz w:val="19"/>
        </w:rPr>
        <w:t xml:space="preserve"> </w:t>
      </w:r>
      <w:r>
        <w:rPr>
          <w:sz w:val="19"/>
        </w:rPr>
        <w:t>Centre</w:t>
      </w:r>
      <w:r>
        <w:rPr>
          <w:spacing w:val="-5"/>
          <w:sz w:val="19"/>
        </w:rPr>
        <w:t xml:space="preserve"> JSC</w:t>
      </w:r>
    </w:p>
    <w:p w14:paraId="1C5EDA3B" w14:textId="77777777" w:rsidR="007D74AE" w:rsidRDefault="007D74AE">
      <w:pPr>
        <w:pStyle w:val="a3"/>
        <w:spacing w:before="132"/>
        <w:rPr>
          <w:sz w:val="19"/>
        </w:rPr>
      </w:pPr>
    </w:p>
    <w:p w14:paraId="7DE6D050" w14:textId="77777777" w:rsidR="007D74AE" w:rsidRDefault="008927E9">
      <w:pPr>
        <w:pStyle w:val="1"/>
        <w:ind w:left="7"/>
      </w:pPr>
      <w:r>
        <w:rPr>
          <w:color w:val="800000"/>
          <w:spacing w:val="-2"/>
        </w:rPr>
        <w:t>APPLICATION</w:t>
      </w:r>
    </w:p>
    <w:p w14:paraId="1AD286D3" w14:textId="77777777" w:rsidR="007D74AE" w:rsidRDefault="008927E9">
      <w:pPr>
        <w:spacing w:before="118"/>
        <w:ind w:right="1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800000"/>
          <w:sz w:val="24"/>
        </w:rPr>
        <w:t>for</w:t>
      </w:r>
      <w:r>
        <w:rPr>
          <w:rFonts w:ascii="Times New Roman"/>
          <w:b/>
          <w:color w:val="800000"/>
          <w:spacing w:val="-5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the transfer</w:t>
      </w:r>
      <w:r>
        <w:rPr>
          <w:rFonts w:ascii="Times New Roman"/>
          <w:b/>
          <w:color w:val="800000"/>
          <w:spacing w:val="-6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of</w:t>
      </w:r>
      <w:r>
        <w:rPr>
          <w:rFonts w:ascii="Times New Roman"/>
          <w:b/>
          <w:color w:val="800000"/>
          <w:spacing w:val="-2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collateral</w:t>
      </w:r>
      <w:r>
        <w:rPr>
          <w:rFonts w:ascii="Times New Roman"/>
          <w:b/>
          <w:color w:val="800000"/>
          <w:spacing w:val="-4"/>
          <w:sz w:val="24"/>
        </w:rPr>
        <w:t xml:space="preserve"> </w:t>
      </w:r>
      <w:r>
        <w:rPr>
          <w:rFonts w:ascii="Times New Roman"/>
          <w:b/>
          <w:color w:val="800000"/>
          <w:spacing w:val="-2"/>
          <w:sz w:val="24"/>
        </w:rPr>
        <w:t>(securities)</w:t>
      </w:r>
    </w:p>
    <w:p w14:paraId="198B0693" w14:textId="77777777" w:rsidR="007D74AE" w:rsidRDefault="007D74AE">
      <w:pPr>
        <w:pStyle w:val="a3"/>
        <w:spacing w:before="199"/>
        <w:rPr>
          <w:rFonts w:ascii="Times New Roman"/>
          <w:b/>
          <w:sz w:val="24"/>
        </w:rPr>
      </w:pPr>
    </w:p>
    <w:p w14:paraId="0587F88B" w14:textId="77777777" w:rsidR="007D74AE" w:rsidRDefault="008927E9">
      <w:pPr>
        <w:pStyle w:val="a3"/>
        <w:tabs>
          <w:tab w:val="left" w:pos="2556"/>
          <w:tab w:val="left" w:pos="3635"/>
          <w:tab w:val="left" w:pos="8404"/>
        </w:tabs>
        <w:spacing w:before="1"/>
        <w:ind w:left="141" w:right="133"/>
        <w:jc w:val="both"/>
      </w:pPr>
      <w:r>
        <w:t>Hereby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(full name of the clearing participant in accordance with the charter and the completed registration (re-registration) of the legal entity with the</w:t>
      </w:r>
      <w:r>
        <w:rPr>
          <w:spacing w:val="-3"/>
        </w:rPr>
        <w:t xml:space="preserve"> </w:t>
      </w:r>
      <w:r>
        <w:t>justice authorities) requests</w:t>
      </w:r>
      <w:r>
        <w:rPr>
          <w:spacing w:val="-1"/>
        </w:rPr>
        <w:t xml:space="preserve"> </w:t>
      </w:r>
      <w:r>
        <w:t>KASE Clearing Centre JSC to transfer collateral in the form of the following g</w:t>
      </w:r>
      <w:r>
        <w:t xml:space="preserve">overnment securities to the account of the National Bank of the Republic of Kazakhstan to pay off the debt in the amount of </w:t>
      </w:r>
      <w:r>
        <w:rPr>
          <w:u w:val="single"/>
        </w:rPr>
        <w:tab/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collateral system participant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(full name of the participant in accordance with the charter and the completed registration </w:t>
      </w:r>
      <w:r>
        <w:t>(re-registration) of the legal entity with the justice authorities) to the National Bank of the Republic of Kazakhstan:</w:t>
      </w:r>
    </w:p>
    <w:p w14:paraId="4C569661" w14:textId="77777777" w:rsidR="007D74AE" w:rsidRDefault="007D74AE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695"/>
        <w:gridCol w:w="1907"/>
        <w:gridCol w:w="1791"/>
        <w:gridCol w:w="1768"/>
        <w:gridCol w:w="1772"/>
      </w:tblGrid>
      <w:tr w:rsidR="007D74AE" w14:paraId="3CE4D86C" w14:textId="77777777">
        <w:trPr>
          <w:trHeight w:val="1147"/>
        </w:trPr>
        <w:tc>
          <w:tcPr>
            <w:tcW w:w="706" w:type="dxa"/>
          </w:tcPr>
          <w:p w14:paraId="30D3F5AF" w14:textId="77777777" w:rsidR="007D74AE" w:rsidRDefault="007D74AE">
            <w:pPr>
              <w:pStyle w:val="TableParagraph"/>
              <w:spacing w:before="225"/>
              <w:rPr>
                <w:rFonts w:ascii="Arial MT"/>
                <w:sz w:val="20"/>
              </w:rPr>
            </w:pPr>
          </w:p>
          <w:p w14:paraId="4E850A5F" w14:textId="77777777" w:rsidR="007D74AE" w:rsidRDefault="008927E9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No.</w:t>
            </w:r>
          </w:p>
        </w:tc>
        <w:tc>
          <w:tcPr>
            <w:tcW w:w="1695" w:type="dxa"/>
          </w:tcPr>
          <w:p w14:paraId="60EBC982" w14:textId="77777777" w:rsidR="007D74AE" w:rsidRDefault="007D74A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509E68C0" w14:textId="77777777" w:rsidR="007D74AE" w:rsidRDefault="008927E9">
            <w:pPr>
              <w:pStyle w:val="TableParagraph"/>
              <w:spacing w:line="237" w:lineRule="auto"/>
              <w:ind w:left="139" w:right="135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Exchange code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 xml:space="preserve">of </w:t>
            </w:r>
            <w:r>
              <w:rPr>
                <w:b/>
                <w:w w:val="90"/>
                <w:sz w:val="20"/>
              </w:rPr>
              <w:t xml:space="preserve">the government </w:t>
            </w:r>
            <w:r>
              <w:rPr>
                <w:b/>
                <w:spacing w:val="-2"/>
                <w:w w:val="90"/>
                <w:sz w:val="20"/>
              </w:rPr>
              <w:t>security</w:t>
            </w:r>
          </w:p>
        </w:tc>
        <w:tc>
          <w:tcPr>
            <w:tcW w:w="1907" w:type="dxa"/>
          </w:tcPr>
          <w:p w14:paraId="6825767F" w14:textId="77777777" w:rsidR="007D74AE" w:rsidRDefault="007D74AE">
            <w:pPr>
              <w:pStyle w:val="TableParagraph"/>
              <w:spacing w:before="225"/>
              <w:rPr>
                <w:rFonts w:ascii="Arial MT"/>
                <w:sz w:val="20"/>
              </w:rPr>
            </w:pPr>
          </w:p>
          <w:p w14:paraId="003FE3CC" w14:textId="77777777" w:rsidR="007D74AE" w:rsidRDefault="008927E9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ISIN</w:t>
            </w:r>
          </w:p>
        </w:tc>
        <w:tc>
          <w:tcPr>
            <w:tcW w:w="1791" w:type="dxa"/>
          </w:tcPr>
          <w:p w14:paraId="2E12ADAD" w14:textId="77777777" w:rsidR="007D74AE" w:rsidRDefault="007D74AE">
            <w:pPr>
              <w:pStyle w:val="TableParagraph"/>
              <w:spacing w:before="225"/>
              <w:rPr>
                <w:rFonts w:ascii="Arial MT"/>
                <w:sz w:val="20"/>
              </w:rPr>
            </w:pPr>
          </w:p>
          <w:p w14:paraId="1D9D91E7" w14:textId="77777777" w:rsidR="007D74AE" w:rsidRDefault="008927E9">
            <w:pPr>
              <w:pStyle w:val="TableParagraph"/>
              <w:spacing w:before="1"/>
              <w:ind w:left="354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Quantity,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pcs.</w:t>
            </w:r>
          </w:p>
        </w:tc>
        <w:tc>
          <w:tcPr>
            <w:tcW w:w="1768" w:type="dxa"/>
          </w:tcPr>
          <w:p w14:paraId="40F31ACB" w14:textId="77777777" w:rsidR="007D74AE" w:rsidRDefault="008927E9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 xml:space="preserve">No. of account for </w:t>
            </w:r>
            <w:r>
              <w:rPr>
                <w:b/>
                <w:w w:val="90"/>
                <w:sz w:val="20"/>
              </w:rPr>
              <w:t>writing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off </w:t>
            </w:r>
            <w:r>
              <w:rPr>
                <w:b/>
                <w:spacing w:val="-2"/>
                <w:w w:val="90"/>
                <w:sz w:val="20"/>
              </w:rPr>
              <w:t>government</w:t>
            </w:r>
          </w:p>
          <w:p w14:paraId="4957A959" w14:textId="77777777" w:rsidR="007D74AE" w:rsidRDefault="008927E9">
            <w:pPr>
              <w:pStyle w:val="TableParagraph"/>
              <w:spacing w:line="226" w:lineRule="exact"/>
              <w:ind w:left="119" w:right="102" w:hanging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securities </w:t>
            </w:r>
            <w:r>
              <w:rPr>
                <w:b/>
                <w:w w:val="80"/>
                <w:sz w:val="20"/>
              </w:rPr>
              <w:t>(Collateral account)</w:t>
            </w:r>
          </w:p>
        </w:tc>
        <w:tc>
          <w:tcPr>
            <w:tcW w:w="1772" w:type="dxa"/>
          </w:tcPr>
          <w:p w14:paraId="43089FBC" w14:textId="77777777" w:rsidR="007D74AE" w:rsidRDefault="008927E9">
            <w:pPr>
              <w:pStyle w:val="TableParagraph"/>
              <w:spacing w:before="57"/>
              <w:ind w:left="180" w:right="169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 xml:space="preserve">No. of account for </w:t>
            </w:r>
            <w:r>
              <w:rPr>
                <w:b/>
                <w:spacing w:val="-2"/>
                <w:w w:val="90"/>
                <w:sz w:val="20"/>
              </w:rPr>
              <w:t>crediting government securities</w:t>
            </w:r>
          </w:p>
        </w:tc>
      </w:tr>
      <w:tr w:rsidR="007D74AE" w14:paraId="6FC44696" w14:textId="77777777">
        <w:trPr>
          <w:trHeight w:val="350"/>
        </w:trPr>
        <w:tc>
          <w:tcPr>
            <w:tcW w:w="706" w:type="dxa"/>
          </w:tcPr>
          <w:p w14:paraId="324F7B01" w14:textId="77777777" w:rsidR="007D74AE" w:rsidRDefault="007D7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2E2EB20D" w14:textId="77777777" w:rsidR="007D74AE" w:rsidRDefault="007D7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7" w:type="dxa"/>
          </w:tcPr>
          <w:p w14:paraId="50716AA6" w14:textId="77777777" w:rsidR="007D74AE" w:rsidRDefault="007D7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</w:tcPr>
          <w:p w14:paraId="2A15388C" w14:textId="77777777" w:rsidR="007D74AE" w:rsidRDefault="007D7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8" w:type="dxa"/>
          </w:tcPr>
          <w:p w14:paraId="0B272F53" w14:textId="77777777" w:rsidR="007D74AE" w:rsidRDefault="007D7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 w14:paraId="794F3C2B" w14:textId="77777777" w:rsidR="007D74AE" w:rsidRDefault="007D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D4EA31" w14:textId="77777777" w:rsidR="007D74AE" w:rsidRDefault="007D74AE">
      <w:pPr>
        <w:pStyle w:val="a3"/>
      </w:pPr>
    </w:p>
    <w:p w14:paraId="1E2943D4" w14:textId="77777777" w:rsidR="007D74AE" w:rsidRDefault="007D74AE">
      <w:pPr>
        <w:pStyle w:val="a3"/>
      </w:pPr>
    </w:p>
    <w:p w14:paraId="301BD051" w14:textId="77777777" w:rsidR="007D74AE" w:rsidRDefault="007D74AE">
      <w:pPr>
        <w:pStyle w:val="a3"/>
      </w:pPr>
    </w:p>
    <w:p w14:paraId="36138506" w14:textId="77777777" w:rsidR="007D74AE" w:rsidRDefault="007D74AE">
      <w:pPr>
        <w:pStyle w:val="a3"/>
      </w:pPr>
    </w:p>
    <w:p w14:paraId="25E3099A" w14:textId="77777777" w:rsidR="007D74AE" w:rsidRDefault="007D74AE">
      <w:pPr>
        <w:pStyle w:val="a3"/>
      </w:pPr>
    </w:p>
    <w:p w14:paraId="11F42B4B" w14:textId="77777777" w:rsidR="007D74AE" w:rsidRDefault="007D74AE">
      <w:pPr>
        <w:pStyle w:val="a3"/>
        <w:spacing w:before="21"/>
      </w:pPr>
    </w:p>
    <w:p w14:paraId="5F2DA79F" w14:textId="77777777" w:rsidR="007D74AE" w:rsidRDefault="008927E9">
      <w:pPr>
        <w:pStyle w:val="a3"/>
        <w:tabs>
          <w:tab w:val="left" w:pos="4463"/>
          <w:tab w:val="left" w:pos="7531"/>
        </w:tabs>
        <w:ind w:left="141"/>
        <w:jc w:val="both"/>
      </w:pPr>
      <w:r>
        <w:t>[CEO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person]</w:t>
      </w:r>
      <w:r>
        <w:tab/>
      </w:r>
      <w:r>
        <w:rPr>
          <w:spacing w:val="-2"/>
        </w:rPr>
        <w:t>[signature]</w:t>
      </w:r>
      <w:r>
        <w:tab/>
        <w:t>[last</w:t>
      </w:r>
      <w:r>
        <w:rPr>
          <w:spacing w:val="-7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rPr>
          <w:spacing w:val="-2"/>
        </w:rPr>
        <w:t>initials]</w:t>
      </w:r>
    </w:p>
    <w:p w14:paraId="7584749F" w14:textId="77777777" w:rsidR="007D74AE" w:rsidRDefault="007D74AE">
      <w:pPr>
        <w:pStyle w:val="a3"/>
      </w:pPr>
    </w:p>
    <w:p w14:paraId="757AED3F" w14:textId="77777777" w:rsidR="007D74AE" w:rsidRDefault="007D74AE">
      <w:pPr>
        <w:pStyle w:val="a3"/>
        <w:spacing w:before="11"/>
      </w:pPr>
    </w:p>
    <w:p w14:paraId="07EC82E6" w14:textId="77777777" w:rsidR="007D74AE" w:rsidRDefault="008927E9">
      <w:pPr>
        <w:pStyle w:val="a3"/>
        <w:tabs>
          <w:tab w:val="left" w:pos="3582"/>
        </w:tabs>
        <w:ind w:left="141"/>
        <w:jc w:val="both"/>
      </w:pPr>
      <w:r>
        <w:t>Performer:</w:t>
      </w:r>
      <w:r>
        <w:rPr>
          <w:spacing w:val="-2"/>
        </w:rPr>
        <w:t xml:space="preserve"> </w:t>
      </w:r>
      <w:r>
        <w:rPr>
          <w:spacing w:val="67"/>
          <w:w w:val="150"/>
          <w:u w:val="single"/>
        </w:rPr>
        <w:t xml:space="preserve"> </w:t>
      </w:r>
      <w:proofErr w:type="gramStart"/>
      <w:r>
        <w:rPr>
          <w:spacing w:val="67"/>
          <w:w w:val="150"/>
          <w:u w:val="single"/>
        </w:rPr>
        <w:t xml:space="preserve">   </w:t>
      </w:r>
      <w:r>
        <w:t>(</w:t>
      </w:r>
      <w:proofErr w:type="gramEnd"/>
      <w:r>
        <w:t>full name)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"/>
        </w:rPr>
        <w:t>(phone)</w:t>
      </w:r>
    </w:p>
    <w:sectPr w:rsidR="007D74AE">
      <w:headerReference w:type="default" r:id="rId6"/>
      <w:footerReference w:type="default" r:id="rId7"/>
      <w:type w:val="continuous"/>
      <w:pgSz w:w="11910" w:h="16840"/>
      <w:pgMar w:top="1660" w:right="992" w:bottom="1060" w:left="992" w:header="72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70A5" w14:textId="77777777" w:rsidR="00000000" w:rsidRDefault="008927E9">
      <w:r>
        <w:separator/>
      </w:r>
    </w:p>
  </w:endnote>
  <w:endnote w:type="continuationSeparator" w:id="0">
    <w:p w14:paraId="0EA881FB" w14:textId="77777777" w:rsidR="00000000" w:rsidRDefault="0089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76D4" w14:textId="77777777" w:rsidR="007D74AE" w:rsidRDefault="008927E9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4A1891FE" wp14:editId="2BA5971D">
              <wp:simplePos x="0" y="0"/>
              <wp:positionH relativeFrom="page">
                <wp:posOffset>3698240</wp:posOffset>
              </wp:positionH>
              <wp:positionV relativeFrom="page">
                <wp:posOffset>9999609</wp:posOffset>
              </wp:positionV>
              <wp:extent cx="16573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ED72A" w14:textId="77777777" w:rsidR="007D74AE" w:rsidRDefault="008927E9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891F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2pt;margin-top:787.35pt;width:13.05pt;height:13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" filled="f" stroked="f">
              <v:textbox inset="0,0,0,0">
                <w:txbxContent>
                  <w:p w14:paraId="775ED72A" w14:textId="77777777" w:rsidR="007D74AE" w:rsidRDefault="008927E9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285" w14:textId="77777777" w:rsidR="00000000" w:rsidRDefault="008927E9">
      <w:r>
        <w:separator/>
      </w:r>
    </w:p>
  </w:footnote>
  <w:footnote w:type="continuationSeparator" w:id="0">
    <w:p w14:paraId="604B3C79" w14:textId="77777777" w:rsidR="00000000" w:rsidRDefault="0089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75D9" w14:textId="77777777" w:rsidR="007D74AE" w:rsidRDefault="008927E9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98DF507" wp14:editId="25FDD327">
              <wp:simplePos x="0" y="0"/>
              <wp:positionH relativeFrom="page">
                <wp:posOffset>701344</wp:posOffset>
              </wp:positionH>
              <wp:positionV relativeFrom="page">
                <wp:posOffset>826261</wp:posOffset>
              </wp:positionV>
              <wp:extent cx="616267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E8821" id="Graphic 1" o:spid="_x0000_s1026" style="position:absolute;margin-left:55.2pt;margin-top:65.05pt;width:485.25pt;height:1.4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159A4F32" wp14:editId="5BDCE457">
              <wp:simplePos x="0" y="0"/>
              <wp:positionH relativeFrom="page">
                <wp:posOffset>701344</wp:posOffset>
              </wp:positionH>
              <wp:positionV relativeFrom="page">
                <wp:posOffset>862837</wp:posOffset>
              </wp:positionV>
              <wp:extent cx="616267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B39873" id="Graphic 2" o:spid="_x0000_s1026" style="position:absolute;margin-left:55.2pt;margin-top:67.95pt;width:485.25pt;height:1.4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4430B9C4" wp14:editId="1C537E14">
              <wp:simplePos x="0" y="0"/>
              <wp:positionH relativeFrom="page">
                <wp:posOffset>1822830</wp:posOffset>
              </wp:positionH>
              <wp:positionV relativeFrom="page">
                <wp:posOffset>449549</wp:posOffset>
              </wp:positionV>
              <wp:extent cx="3914140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1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30536" w14:textId="77777777" w:rsidR="007D74AE" w:rsidRDefault="008927E9">
                          <w:pPr>
                            <w:spacing w:before="13"/>
                            <w:ind w:left="356" w:right="18" w:hanging="337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Rules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acceptance,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collateral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within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 settlement finality system of the interbank payment card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0B9C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3.55pt;margin-top:35.4pt;width:308.2pt;height:24.7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" filled="f" stroked="f">
              <v:textbox inset="0,0,0,0">
                <w:txbxContent>
                  <w:p w14:paraId="0AA30536" w14:textId="77777777" w:rsidR="007D74AE" w:rsidRDefault="008927E9">
                    <w:pPr>
                      <w:spacing w:before="13"/>
                      <w:ind w:left="356" w:right="18" w:hanging="337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Rules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acceptance,</w:t>
                    </w:r>
                    <w:r>
                      <w:rPr>
                        <w:rFonts w:asci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accounting</w:t>
                    </w:r>
                    <w:r>
                      <w:rPr>
                        <w:rFonts w:ascii="Times New Roman"/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control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collateral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within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 settlement finality system of the interbank payment card 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AE"/>
    <w:rsid w:val="007D74AE"/>
    <w:rsid w:val="0089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EFD4"/>
  <w15:docId w15:val="{72DD1015-FC15-4BE7-AE50-CC1A9F87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right="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4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2026-05-20T15:28:00Z</dcterms:created>
  <dcterms:modified xsi:type="dcterms:W3CDTF">2026-05-20T15:28:00Z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LastSaved">
    <vt:filetime>2026-05-05T00:00:00Z</vt:filetime>
  </property>
  <property fmtid="{D5CDD505-2E9C-101B-9397-08002B2CF9AE}" pid="5" name="Producer">
    <vt:lpwstr>iLovePDF</vt:lpwstr>
  </property>
</Properties>
</file>